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2694E" w14:textId="2F69284F" w:rsidR="006D3A53" w:rsidRPr="00B56577" w:rsidRDefault="006D3A53" w:rsidP="006D3A53">
      <w:pPr>
        <w:pStyle w:val="Heading1"/>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2998"/>
        <w:gridCol w:w="7990"/>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2392B217" w:rsidR="00156F7C" w:rsidRPr="00B56577" w:rsidRDefault="00DA6039" w:rsidP="009E63EB">
            <w:pPr>
              <w:pStyle w:val="BodyTextBold"/>
              <w:rPr>
                <w:rFonts w:ascii="Lato" w:hAnsi="Lato"/>
                <w:b w:val="0"/>
              </w:rPr>
            </w:pPr>
            <w:r w:rsidRPr="00DA6039">
              <w:rPr>
                <w:rFonts w:ascii="Lato" w:hAnsi="Lato"/>
                <w:b w:val="0"/>
              </w:rPr>
              <w:t>DP218 ‘Review of the SEC Charging Methodology’</w:t>
            </w:r>
            <w:r>
              <w:rPr>
                <w:rFonts w:ascii="Lato" w:hAnsi="Lato"/>
                <w:b w:val="0"/>
              </w:rPr>
              <w:t xml:space="preserve"> Request for Information (RFI)</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64A9D598" w:rsidR="00E218D7" w:rsidRPr="00B56577" w:rsidRDefault="00BD0222" w:rsidP="009E63EB">
            <w:pPr>
              <w:pStyle w:val="BodyTextBold"/>
              <w:rPr>
                <w:rFonts w:ascii="Lato" w:hAnsi="Lato"/>
                <w:b w:val="0"/>
              </w:rPr>
            </w:pPr>
            <w:r>
              <w:rPr>
                <w:rFonts w:ascii="Lato" w:hAnsi="Lato"/>
                <w:b w:val="0"/>
              </w:rPr>
              <w:t>25</w:t>
            </w:r>
            <w:r w:rsidR="00FF59EF" w:rsidRPr="00B56577">
              <w:rPr>
                <w:rFonts w:ascii="Lato" w:hAnsi="Lato"/>
                <w:b w:val="0"/>
              </w:rPr>
              <w:t xml:space="preserve"> </w:t>
            </w:r>
            <w:r w:rsidR="00DA6039">
              <w:rPr>
                <w:rFonts w:ascii="Lato" w:hAnsi="Lato"/>
                <w:b w:val="0"/>
              </w:rPr>
              <w:t>June</w:t>
            </w:r>
            <w:r w:rsidR="00AA7EDE" w:rsidRPr="00B56577">
              <w:rPr>
                <w:rFonts w:ascii="Lato" w:hAnsi="Lato"/>
                <w:b w:val="0"/>
              </w:rPr>
              <w:t xml:space="preserve"> 2024</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457358" w:rsidP="0086498F">
            <w:pPr>
              <w:pStyle w:val="BodyTextBold"/>
              <w:rPr>
                <w:rFonts w:ascii="Lato" w:hAnsi="Lato"/>
                <w:b w:val="0"/>
              </w:rPr>
            </w:pPr>
            <w:hyperlink r:id="rId11" w:history="1">
              <w:r w:rsidR="0086498F" w:rsidRPr="00B56577">
                <w:rPr>
                  <w:rStyle w:val="Hyperlink"/>
                  <w:rFonts w:ascii="Lato" w:hAnsi="Lato"/>
                </w:rPr>
                <w:t>consultations@smartdcc.co.uk</w:t>
              </w:r>
            </w:hyperlink>
            <w:hyperlink r:id="rId12"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2D8F2227" w:rsidR="00F3668C" w:rsidRPr="00B56577" w:rsidRDefault="00826A24" w:rsidP="009E63EB">
            <w:pPr>
              <w:pStyle w:val="BodyTextBold"/>
              <w:rPr>
                <w:rFonts w:ascii="Lato" w:hAnsi="Lato"/>
                <w:b w:val="0"/>
              </w:rPr>
            </w:pPr>
            <w:r>
              <w:rPr>
                <w:rFonts w:ascii="Lato" w:hAnsi="Lato"/>
                <w:b w:val="0"/>
              </w:rPr>
              <w:t>ICoSS</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66E2BB09" w:rsidR="0052508C" w:rsidRPr="00B56577" w:rsidRDefault="00826A24" w:rsidP="009E63EB">
            <w:pPr>
              <w:pStyle w:val="BodyTextBold"/>
              <w:rPr>
                <w:rFonts w:ascii="Lato" w:hAnsi="Lato"/>
                <w:b w:val="0"/>
              </w:rPr>
            </w:pPr>
            <w:r>
              <w:rPr>
                <w:rFonts w:ascii="Lato" w:hAnsi="Lato"/>
                <w:b w:val="0"/>
              </w:rPr>
              <w:t>Gareth Evans</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10477F6E" w:rsidR="0052508C" w:rsidRPr="00B56577" w:rsidRDefault="00457358" w:rsidP="009E63EB">
            <w:pPr>
              <w:pStyle w:val="BodyTextBold"/>
              <w:rPr>
                <w:rFonts w:ascii="Lato" w:hAnsi="Lato"/>
                <w:b w:val="0"/>
              </w:rPr>
            </w:pPr>
            <w:hyperlink r:id="rId13" w:history="1">
              <w:r w:rsidR="00826A24" w:rsidRPr="00E917B8">
                <w:rPr>
                  <w:rStyle w:val="Hyperlink"/>
                  <w:rFonts w:ascii="Lato" w:hAnsi="Lato"/>
                  <w:b w:val="0"/>
                </w:rPr>
                <w:t>gareth@icoss.org</w:t>
              </w:r>
            </w:hyperlink>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481A6E3B" w:rsidR="0052508C" w:rsidRPr="00B56577" w:rsidRDefault="00826A24" w:rsidP="009E63EB">
            <w:pPr>
              <w:pStyle w:val="BodyTextBold"/>
              <w:rPr>
                <w:rFonts w:ascii="Lato" w:hAnsi="Lato"/>
                <w:b w:val="0"/>
              </w:rPr>
            </w:pPr>
            <w:r>
              <w:rPr>
                <w:rFonts w:ascii="Lato" w:hAnsi="Lato"/>
                <w:b w:val="0"/>
              </w:rPr>
              <w:t>01449741599</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6995F89" w:rsidR="004064E0" w:rsidRDefault="00DC52C9" w:rsidP="00DC52C9">
      <w:pPr>
        <w:pStyle w:val="Heading1"/>
        <w:ind w:left="848" w:hanging="848"/>
        <w:rPr>
          <w:rFonts w:ascii="Lato" w:hAnsi="Lato"/>
          <w:b w:val="0"/>
        </w:rPr>
      </w:pPr>
      <w:r w:rsidRPr="00B56577">
        <w:rPr>
          <w:rFonts w:ascii="Lato" w:hAnsi="Lato"/>
        </w:rPr>
        <w:lastRenderedPageBreak/>
        <w:t>R</w:t>
      </w:r>
      <w:r w:rsidR="004064E0" w:rsidRPr="00B56577">
        <w:rPr>
          <w:rFonts w:ascii="Lato" w:hAnsi="Lato"/>
        </w:rPr>
        <w:t xml:space="preserve">esponses to the </w:t>
      </w:r>
      <w:r w:rsidR="002E637C">
        <w:rPr>
          <w:rFonts w:ascii="Lato" w:hAnsi="Lato"/>
        </w:rPr>
        <w:t xml:space="preserve">DP218 </w:t>
      </w:r>
      <w:r w:rsidR="009A718D">
        <w:rPr>
          <w:rFonts w:ascii="Lato" w:hAnsi="Lato"/>
        </w:rPr>
        <w:t>RFI</w:t>
      </w:r>
      <w:r w:rsidR="004064E0" w:rsidRPr="00B56577">
        <w:rPr>
          <w:rFonts w:ascii="Lato" w:hAnsi="Lato"/>
        </w:rPr>
        <w:t xml:space="preserve"> questions</w:t>
      </w:r>
      <w:bookmarkEnd w:id="0"/>
    </w:p>
    <w:p w14:paraId="108B4830" w14:textId="485E07C4" w:rsidR="00811A2D" w:rsidRPr="00601D9F" w:rsidRDefault="00811A2D" w:rsidP="00601D9F">
      <w:pPr>
        <w:pStyle w:val="Heading2"/>
        <w:keepNext w:val="0"/>
        <w:spacing w:before="220" w:after="220"/>
        <w:ind w:left="709" w:hanging="709"/>
        <w:rPr>
          <w:rFonts w:ascii="Lato" w:eastAsiaTheme="minorHAnsi" w:hAnsi="Lato" w:cstheme="minorBidi"/>
          <w:bCs w:val="0"/>
          <w:iCs w:val="0"/>
          <w:color w:val="CA005D"/>
          <w:szCs w:val="22"/>
        </w:rPr>
      </w:pPr>
      <w:r w:rsidRPr="00601D9F">
        <w:rPr>
          <w:rFonts w:ascii="Lato" w:eastAsiaTheme="minorHAnsi" w:hAnsi="Lato" w:cstheme="minorBidi"/>
          <w:bCs w:val="0"/>
          <w:iCs w:val="0"/>
          <w:color w:val="CA005D"/>
          <w:szCs w:val="22"/>
        </w:rPr>
        <w:t>Questions on key drivers for change and guiding principles</w:t>
      </w:r>
    </w:p>
    <w:tbl>
      <w:tblPr>
        <w:tblStyle w:val="TableTemplate1"/>
        <w:tblW w:w="5000" w:type="pct"/>
        <w:tblLook w:val="04A0" w:firstRow="1" w:lastRow="0" w:firstColumn="1" w:lastColumn="0" w:noHBand="0" w:noVBand="1"/>
      </w:tblPr>
      <w:tblGrid>
        <w:gridCol w:w="1020"/>
        <w:gridCol w:w="9955"/>
        <w:gridCol w:w="2963"/>
      </w:tblGrid>
      <w:tr w:rsidR="009E3938" w:rsidRPr="00B56577" w14:paraId="3E2A3BAD" w14:textId="77777777" w:rsidTr="00C45A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 w:type="pct"/>
          </w:tcPr>
          <w:p w14:paraId="68971F25" w14:textId="6F574FEE" w:rsidR="00674D62" w:rsidRPr="00B56577" w:rsidRDefault="004B2C0E" w:rsidP="00FE755A">
            <w:pPr>
              <w:pStyle w:val="TableText-Left"/>
              <w:spacing w:line="276" w:lineRule="auto"/>
              <w:jc w:val="center"/>
              <w:rPr>
                <w:rFonts w:ascii="Lato" w:hAnsi="Lato"/>
              </w:rPr>
            </w:pPr>
            <w:r w:rsidRPr="00B56577">
              <w:rPr>
                <w:rFonts w:ascii="Lato" w:hAnsi="Lato"/>
              </w:rPr>
              <w:t>Numb</w:t>
            </w:r>
            <w:r w:rsidR="00C22E7C">
              <w:rPr>
                <w:rFonts w:ascii="Lato" w:hAnsi="Lato"/>
              </w:rPr>
              <w:t>er</w:t>
            </w:r>
          </w:p>
        </w:tc>
        <w:tc>
          <w:tcPr>
            <w:tcW w:w="3571" w:type="pct"/>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312F3A" w:rsidRPr="00B56577" w14:paraId="72511565" w14:textId="77777777" w:rsidTr="00C45A9D">
        <w:trPr>
          <w:cantSplit/>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3571" w:type="pct"/>
            <w:vAlign w:val="center"/>
          </w:tcPr>
          <w:p w14:paraId="2E8CAFFB" w14:textId="6C2B6662" w:rsidR="00312F3A" w:rsidRPr="00B56577" w:rsidRDefault="00E83697"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83697">
              <w:rPr>
                <w:rFonts w:ascii="Lato" w:hAnsi="Lato"/>
              </w:rPr>
              <w:t>Do you have any comments and/or insights on the drivers of change identified in this chapter</w:t>
            </w:r>
            <w:r w:rsidR="00353BD1">
              <w:rPr>
                <w:rFonts w:ascii="Lato" w:hAnsi="Lato"/>
              </w:rPr>
              <w:t xml:space="preserve"> 1</w:t>
            </w:r>
            <w:r w:rsidRPr="00E83697">
              <w:rPr>
                <w:rFonts w:ascii="Lato" w:hAnsi="Lato"/>
              </w:rPr>
              <w:t>?</w:t>
            </w:r>
          </w:p>
        </w:tc>
        <w:tc>
          <w:tcPr>
            <w:tcW w:w="1063" w:type="pct"/>
            <w:vAlign w:val="center"/>
          </w:tcPr>
          <w:p w14:paraId="1D5B9CEC" w14:textId="5A80ACDD" w:rsidR="0044437B" w:rsidRPr="00B56577" w:rsidRDefault="0044437B" w:rsidP="0044437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agree that the current charging regime does not result in </w:t>
            </w:r>
            <w:r w:rsidR="001604E1">
              <w:rPr>
                <w:rFonts w:ascii="Lato" w:hAnsi="Lato"/>
              </w:rPr>
              <w:t>some</w:t>
            </w:r>
            <w:r>
              <w:rPr>
                <w:rFonts w:ascii="Lato" w:hAnsi="Lato"/>
              </w:rPr>
              <w:t xml:space="preserve"> organisations </w:t>
            </w:r>
            <w:r w:rsidR="00C66C1D">
              <w:rPr>
                <w:rFonts w:ascii="Lato" w:hAnsi="Lato"/>
              </w:rPr>
              <w:t xml:space="preserve">that </w:t>
            </w:r>
            <w:r>
              <w:rPr>
                <w:rFonts w:ascii="Lato" w:hAnsi="Lato"/>
              </w:rPr>
              <w:t>us</w:t>
            </w:r>
            <w:r w:rsidR="00C66C1D">
              <w:rPr>
                <w:rFonts w:ascii="Lato" w:hAnsi="Lato"/>
              </w:rPr>
              <w:t>e</w:t>
            </w:r>
            <w:r>
              <w:rPr>
                <w:rFonts w:ascii="Lato" w:hAnsi="Lato"/>
              </w:rPr>
              <w:t xml:space="preserve"> the DCC systems from paying </w:t>
            </w:r>
            <w:r w:rsidR="001604E1">
              <w:rPr>
                <w:rFonts w:ascii="Lato" w:hAnsi="Lato"/>
              </w:rPr>
              <w:t xml:space="preserve">an appropriate charge for that use.  </w:t>
            </w:r>
          </w:p>
          <w:p w14:paraId="6647FA10" w14:textId="74C05B25" w:rsidR="00312F3A" w:rsidRPr="00B56577" w:rsidRDefault="00312F3A"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312F3A" w:rsidRPr="00B56577" w14:paraId="1746CC52" w14:textId="2BBE4DE6"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t>Q2</w:t>
            </w:r>
          </w:p>
        </w:tc>
        <w:tc>
          <w:tcPr>
            <w:tcW w:w="3571" w:type="pct"/>
            <w:vAlign w:val="center"/>
          </w:tcPr>
          <w:p w14:paraId="4A576EE9" w14:textId="760946CC" w:rsidR="00312F3A" w:rsidRPr="00B56577" w:rsidRDefault="00395E93"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5E93">
              <w:rPr>
                <w:rFonts w:ascii="Lato" w:hAnsi="Lato"/>
              </w:rPr>
              <w:t>Do you have any comments on the guiding principles detailed at figure 4?</w:t>
            </w:r>
          </w:p>
        </w:tc>
        <w:tc>
          <w:tcPr>
            <w:tcW w:w="1063" w:type="pct"/>
            <w:vAlign w:val="center"/>
          </w:tcPr>
          <w:p w14:paraId="3EBF2CF3" w14:textId="097BE636" w:rsidR="00312F3A" w:rsidRPr="00B56577" w:rsidRDefault="001604E1"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agree with the principles identified. </w:t>
            </w:r>
          </w:p>
        </w:tc>
      </w:tr>
    </w:tbl>
    <w:p w14:paraId="0A15259C" w14:textId="77777777" w:rsidR="00C45A9D" w:rsidRDefault="00C45A9D"/>
    <w:p w14:paraId="7F917E21" w14:textId="0BA0B87E" w:rsidR="005D5D2A" w:rsidRPr="005D5D2A" w:rsidRDefault="005D5D2A" w:rsidP="005D5D2A">
      <w:pPr>
        <w:pStyle w:val="Heading2"/>
        <w:keepNext w:val="0"/>
        <w:spacing w:before="220" w:after="220"/>
        <w:ind w:left="709" w:hanging="709"/>
        <w:rPr>
          <w:rFonts w:ascii="Lato" w:eastAsiaTheme="minorHAnsi" w:hAnsi="Lato" w:cstheme="minorBidi"/>
          <w:bCs w:val="0"/>
          <w:iCs w:val="0"/>
          <w:color w:val="CA005D"/>
          <w:szCs w:val="22"/>
        </w:rPr>
      </w:pPr>
      <w:r w:rsidRPr="005D5D2A">
        <w:rPr>
          <w:rFonts w:ascii="Lato" w:eastAsiaTheme="minorHAnsi" w:hAnsi="Lato" w:cstheme="minorBidi"/>
          <w:bCs w:val="0"/>
          <w:iCs w:val="0"/>
          <w:color w:val="CA005D"/>
          <w:szCs w:val="22"/>
        </w:rPr>
        <w:t>Questions on scope of charges under review</w:t>
      </w:r>
    </w:p>
    <w:tbl>
      <w:tblPr>
        <w:tblStyle w:val="TableTemplate1"/>
        <w:tblW w:w="5000" w:type="pct"/>
        <w:tblLook w:val="04A0" w:firstRow="1" w:lastRow="0" w:firstColumn="1" w:lastColumn="0" w:noHBand="0" w:noVBand="1"/>
      </w:tblPr>
      <w:tblGrid>
        <w:gridCol w:w="1020"/>
        <w:gridCol w:w="9955"/>
        <w:gridCol w:w="2963"/>
      </w:tblGrid>
      <w:tr w:rsidR="00C45A9D" w:rsidRPr="00B56577" w14:paraId="6A4A2C72" w14:textId="77777777" w:rsidTr="00C45A9D">
        <w:trPr>
          <w:cnfStyle w:val="100000000000" w:firstRow="1" w:lastRow="0" w:firstColumn="0" w:lastColumn="0" w:oddVBand="0" w:evenVBand="0" w:oddHBand="0" w:evenHBand="0" w:firstRowFirstColumn="0" w:firstRowLastColumn="0" w:lastRowFirstColumn="0" w:lastRowLastColumn="0"/>
          <w:trHeight w:val="66"/>
        </w:trPr>
        <w:tc>
          <w:tcPr>
            <w:cnfStyle w:val="001000000000" w:firstRow="0" w:lastRow="0" w:firstColumn="1" w:lastColumn="0" w:oddVBand="0" w:evenVBand="0" w:oddHBand="0" w:evenHBand="0" w:firstRowFirstColumn="0" w:firstRowLastColumn="0" w:lastRowFirstColumn="0" w:lastRowLastColumn="0"/>
            <w:tcW w:w="366" w:type="pct"/>
            <w:vAlign w:val="top"/>
          </w:tcPr>
          <w:p w14:paraId="196EB028" w14:textId="6558706E" w:rsidR="00C45A9D" w:rsidRPr="00B56577" w:rsidRDefault="00C45A9D" w:rsidP="00C45A9D">
            <w:pPr>
              <w:pStyle w:val="TableText-Left"/>
              <w:spacing w:line="276" w:lineRule="auto"/>
              <w:jc w:val="center"/>
              <w:rPr>
                <w:rFonts w:ascii="Lato" w:hAnsi="Lato"/>
              </w:rPr>
            </w:pPr>
            <w:r w:rsidRPr="00B56577">
              <w:rPr>
                <w:rFonts w:ascii="Lato" w:hAnsi="Lato"/>
              </w:rPr>
              <w:t>Numb</w:t>
            </w:r>
            <w:r>
              <w:rPr>
                <w:rFonts w:ascii="Lato" w:hAnsi="Lato"/>
              </w:rPr>
              <w:t>er</w:t>
            </w:r>
          </w:p>
        </w:tc>
        <w:tc>
          <w:tcPr>
            <w:tcW w:w="3571" w:type="pct"/>
            <w:vAlign w:val="top"/>
          </w:tcPr>
          <w:p w14:paraId="4668AB99" w14:textId="0CDE29EB" w:rsidR="00C45A9D" w:rsidRPr="007941CD"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388BE7D8" w14:textId="41FADCCF" w:rsidR="00C45A9D" w:rsidRPr="00B56577"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C45A9D" w:rsidRPr="00B56577" w14:paraId="57F37949"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FD9F6E7" w14:textId="747B75F9" w:rsidR="00C45A9D" w:rsidRPr="00B56577" w:rsidRDefault="00C45A9D" w:rsidP="00C45A9D">
            <w:pPr>
              <w:pStyle w:val="TableText-Left"/>
              <w:spacing w:line="276" w:lineRule="auto"/>
              <w:jc w:val="center"/>
              <w:rPr>
                <w:rFonts w:ascii="Lato" w:hAnsi="Lato"/>
                <w:color w:val="auto"/>
              </w:rPr>
            </w:pPr>
            <w:r w:rsidRPr="00B56577">
              <w:rPr>
                <w:rFonts w:ascii="Lato" w:hAnsi="Lato"/>
                <w:color w:val="auto"/>
              </w:rPr>
              <w:t>Q3</w:t>
            </w:r>
          </w:p>
        </w:tc>
        <w:tc>
          <w:tcPr>
            <w:tcW w:w="3571" w:type="pct"/>
            <w:vAlign w:val="center"/>
          </w:tcPr>
          <w:p w14:paraId="27E1D502" w14:textId="170D0170" w:rsidR="00C45A9D" w:rsidRPr="00B56577" w:rsidRDefault="00A14040"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14040">
              <w:rPr>
                <w:rFonts w:ascii="Lato" w:hAnsi="Lato"/>
              </w:rPr>
              <w:t>Do you agree with the scope of this review given the proportion of costs recovered through Fixed Charges in DCC’s cost structure, including the need to better understand and categorise costs (e.g. transaction costs). If not, please explain why.</w:t>
            </w:r>
          </w:p>
        </w:tc>
        <w:tc>
          <w:tcPr>
            <w:tcW w:w="1063" w:type="pct"/>
            <w:vAlign w:val="center"/>
          </w:tcPr>
          <w:p w14:paraId="1DB58672" w14:textId="1607D301" w:rsidR="00C45A9D" w:rsidRPr="00B56577" w:rsidRDefault="007A44F0"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b/>
                <w:bCs/>
              </w:rPr>
            </w:pPr>
            <w:r>
              <w:rPr>
                <w:rFonts w:ascii="Lato" w:hAnsi="Lato"/>
              </w:rPr>
              <w:t>We agree.</w:t>
            </w:r>
          </w:p>
        </w:tc>
      </w:tr>
    </w:tbl>
    <w:p w14:paraId="5B33F1EE" w14:textId="3383D6F1" w:rsidR="005D5D2A" w:rsidRPr="00773AE9" w:rsidRDefault="00773AE9" w:rsidP="00A14040">
      <w:pPr>
        <w:pStyle w:val="Heading2"/>
        <w:spacing w:before="220" w:after="220"/>
        <w:ind w:left="709" w:hanging="709"/>
        <w:rPr>
          <w:rFonts w:ascii="Lato" w:eastAsiaTheme="minorHAnsi" w:hAnsi="Lato" w:cstheme="minorBidi"/>
          <w:bCs w:val="0"/>
          <w:iCs w:val="0"/>
          <w:color w:val="CA005D"/>
          <w:szCs w:val="22"/>
        </w:rPr>
      </w:pPr>
      <w:r w:rsidRPr="00773AE9">
        <w:rPr>
          <w:rFonts w:ascii="Lato" w:eastAsiaTheme="minorHAnsi" w:hAnsi="Lato" w:cstheme="minorBidi"/>
          <w:bCs w:val="0"/>
          <w:iCs w:val="0"/>
          <w:color w:val="CA005D"/>
          <w:szCs w:val="22"/>
        </w:rPr>
        <w:t>Questions on uniform charging</w:t>
      </w:r>
    </w:p>
    <w:tbl>
      <w:tblPr>
        <w:tblStyle w:val="TableTemplate1"/>
        <w:tblW w:w="5000" w:type="pct"/>
        <w:tblLook w:val="04A0" w:firstRow="1" w:lastRow="0" w:firstColumn="1" w:lastColumn="0" w:noHBand="0" w:noVBand="1"/>
      </w:tblPr>
      <w:tblGrid>
        <w:gridCol w:w="1020"/>
        <w:gridCol w:w="9955"/>
        <w:gridCol w:w="2963"/>
      </w:tblGrid>
      <w:tr w:rsidR="00773AE9" w:rsidRPr="00B56577" w14:paraId="3D7A0C51" w14:textId="77777777" w:rsidTr="00773AE9">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66" w:type="pct"/>
            <w:vAlign w:val="top"/>
          </w:tcPr>
          <w:p w14:paraId="5DD4C7DB" w14:textId="536689FE" w:rsidR="00773AE9" w:rsidRPr="00B56577" w:rsidRDefault="00773AE9" w:rsidP="00773AE9">
            <w:pPr>
              <w:pStyle w:val="TableText-Left"/>
              <w:spacing w:line="276" w:lineRule="auto"/>
              <w:jc w:val="center"/>
              <w:rPr>
                <w:rFonts w:ascii="Lato" w:hAnsi="Lato"/>
              </w:rPr>
            </w:pPr>
            <w:r w:rsidRPr="00B56577">
              <w:rPr>
                <w:rFonts w:ascii="Lato" w:hAnsi="Lato"/>
              </w:rPr>
              <w:t>Numb</w:t>
            </w:r>
            <w:r>
              <w:rPr>
                <w:rFonts w:ascii="Lato" w:hAnsi="Lato"/>
              </w:rPr>
              <w:t>er</w:t>
            </w:r>
          </w:p>
        </w:tc>
        <w:tc>
          <w:tcPr>
            <w:tcW w:w="3571" w:type="pct"/>
            <w:vAlign w:val="top"/>
          </w:tcPr>
          <w:p w14:paraId="4703F2BA" w14:textId="711DDB44"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7D839F0F" w14:textId="20470236"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773AE9" w:rsidRPr="00B56577" w14:paraId="181D936A"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7C61D7A" w14:textId="21B8D577" w:rsidR="00773AE9" w:rsidRPr="00C61661" w:rsidRDefault="00773AE9" w:rsidP="00773AE9">
            <w:pPr>
              <w:pStyle w:val="TableText-Left"/>
              <w:spacing w:line="276" w:lineRule="auto"/>
              <w:jc w:val="center"/>
              <w:rPr>
                <w:rFonts w:ascii="Lato" w:hAnsi="Lato"/>
              </w:rPr>
            </w:pPr>
            <w:r w:rsidRPr="00C61661">
              <w:rPr>
                <w:rFonts w:ascii="Lato" w:hAnsi="Lato"/>
                <w:color w:val="auto"/>
              </w:rPr>
              <w:t>Q4</w:t>
            </w:r>
          </w:p>
        </w:tc>
        <w:tc>
          <w:tcPr>
            <w:tcW w:w="3571" w:type="pct"/>
            <w:vAlign w:val="center"/>
          </w:tcPr>
          <w:p w14:paraId="26658F83" w14:textId="4AE20820" w:rsidR="00773AE9" w:rsidRPr="005B04E7" w:rsidRDefault="00773AE9"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5B04E7">
              <w:rPr>
                <w:rFonts w:ascii="Lato" w:hAnsi="Lato"/>
              </w:rPr>
              <w:t>Do you agree that future DCC’s charges for the provision of mandated services should continue to be uniform across the country and across SMETS1 and SMETS2 meters?</w:t>
            </w:r>
          </w:p>
        </w:tc>
        <w:tc>
          <w:tcPr>
            <w:tcW w:w="1063" w:type="pct"/>
            <w:vAlign w:val="center"/>
          </w:tcPr>
          <w:p w14:paraId="213F654A" w14:textId="44120629" w:rsidR="00773AE9" w:rsidRPr="00B56577" w:rsidRDefault="001604E1"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Any charging regime should be easy to operate </w:t>
            </w:r>
            <w:r w:rsidR="00DF0904">
              <w:rPr>
                <w:rFonts w:ascii="Lato" w:hAnsi="Lato"/>
              </w:rPr>
              <w:t xml:space="preserve">for DCC Users.  A uniform charge for SMETS1 and SMETS2 meters currently achieves </w:t>
            </w:r>
            <w:r w:rsidR="00B41CA6">
              <w:rPr>
                <w:rFonts w:ascii="Lato" w:hAnsi="Lato"/>
              </w:rPr>
              <w:t>that</w:t>
            </w:r>
            <w:r w:rsidR="00DF0904">
              <w:rPr>
                <w:rFonts w:ascii="Lato" w:hAnsi="Lato"/>
              </w:rPr>
              <w:t xml:space="preserve"> aim.</w:t>
            </w:r>
          </w:p>
        </w:tc>
      </w:tr>
    </w:tbl>
    <w:p w14:paraId="445F8E3A" w14:textId="77777777" w:rsidR="00F923FC" w:rsidRDefault="00F923FC"/>
    <w:p w14:paraId="1226E647" w14:textId="1B782C03" w:rsidR="00F923FC" w:rsidRPr="00F923FC" w:rsidRDefault="00F923FC" w:rsidP="00F923FC">
      <w:pPr>
        <w:pStyle w:val="Heading2"/>
        <w:keepNext w:val="0"/>
        <w:spacing w:before="220" w:after="220"/>
        <w:ind w:left="709" w:hanging="709"/>
        <w:rPr>
          <w:rFonts w:ascii="Lato" w:eastAsiaTheme="minorHAnsi" w:hAnsi="Lato" w:cstheme="minorBidi"/>
          <w:bCs w:val="0"/>
          <w:iCs w:val="0"/>
          <w:color w:val="CA005D"/>
          <w:szCs w:val="22"/>
        </w:rPr>
      </w:pPr>
      <w:r w:rsidRPr="00F923FC">
        <w:rPr>
          <w:rFonts w:ascii="Lato" w:eastAsiaTheme="minorHAnsi" w:hAnsi="Lato" w:cstheme="minorBidi"/>
          <w:bCs w:val="0"/>
          <w:iCs w:val="0"/>
          <w:color w:val="CA005D"/>
          <w:szCs w:val="22"/>
        </w:rPr>
        <w:t>Questions on the charging basis</w:t>
      </w:r>
    </w:p>
    <w:tbl>
      <w:tblPr>
        <w:tblStyle w:val="TableTemplate1"/>
        <w:tblW w:w="5000" w:type="pct"/>
        <w:tblLook w:val="04A0" w:firstRow="1" w:lastRow="0" w:firstColumn="1" w:lastColumn="0" w:noHBand="0" w:noVBand="1"/>
      </w:tblPr>
      <w:tblGrid>
        <w:gridCol w:w="1020"/>
        <w:gridCol w:w="9955"/>
        <w:gridCol w:w="2963"/>
      </w:tblGrid>
      <w:tr w:rsidR="00F923FC" w:rsidRPr="00B56577" w14:paraId="2C3F978A" w14:textId="77777777" w:rsidTr="00F923FC">
        <w:trPr>
          <w:cnfStyle w:val="100000000000" w:firstRow="1" w:lastRow="0" w:firstColumn="0" w:lastColumn="0" w:oddVBand="0" w:evenVBand="0" w:oddHBand="0"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366" w:type="pct"/>
            <w:vAlign w:val="top"/>
          </w:tcPr>
          <w:p w14:paraId="62AA9916" w14:textId="32E55E5F" w:rsidR="00F923FC" w:rsidRPr="00B56577" w:rsidRDefault="00F923FC" w:rsidP="00F923F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45BFBEA7" w14:textId="6602EDC4"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801E874" w14:textId="52B5BAF1"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923FC" w:rsidRPr="00B56577" w14:paraId="0ABFB89B"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2157AC0" w14:textId="735619F3" w:rsidR="00F923FC" w:rsidRPr="00B56577" w:rsidRDefault="00F923FC" w:rsidP="00F923FC">
            <w:pPr>
              <w:pStyle w:val="TableText-Left"/>
              <w:spacing w:line="276" w:lineRule="auto"/>
              <w:jc w:val="center"/>
              <w:rPr>
                <w:rFonts w:ascii="Lato" w:hAnsi="Lato"/>
              </w:rPr>
            </w:pPr>
            <w:r w:rsidRPr="00B56577">
              <w:rPr>
                <w:rFonts w:ascii="Lato" w:hAnsi="Lato"/>
                <w:color w:val="auto"/>
              </w:rPr>
              <w:t>Q</w:t>
            </w:r>
            <w:r>
              <w:rPr>
                <w:rFonts w:ascii="Lato" w:hAnsi="Lato"/>
                <w:color w:val="auto"/>
              </w:rPr>
              <w:t>5</w:t>
            </w:r>
          </w:p>
        </w:tc>
        <w:tc>
          <w:tcPr>
            <w:tcW w:w="3571" w:type="pct"/>
            <w:vAlign w:val="center"/>
          </w:tcPr>
          <w:p w14:paraId="4D12EF6A" w14:textId="492E79B6" w:rsidR="00F923FC" w:rsidRPr="00DB40FD"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B40FD">
              <w:rPr>
                <w:rFonts w:ascii="Lato" w:hAnsi="Lato"/>
              </w:rPr>
              <w:t>In your view, what would be a suitable metric to set charges for different User Categories (e.g. Energy Suppliers, Network Operators, Other SEC Parties)?</w:t>
            </w:r>
          </w:p>
        </w:tc>
        <w:tc>
          <w:tcPr>
            <w:tcW w:w="1063" w:type="pct"/>
            <w:vAlign w:val="center"/>
          </w:tcPr>
          <w:p w14:paraId="6A77A347" w14:textId="5135C825" w:rsidR="00F923FC" w:rsidRPr="00B56577" w:rsidRDefault="002A1218"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believe that the existing charging regime for suppliers is appropriate </w:t>
            </w:r>
            <w:r w:rsidR="00565C2F">
              <w:rPr>
                <w:rFonts w:ascii="Lato" w:hAnsi="Lato"/>
              </w:rPr>
              <w:t>as suppliers are obliged to obtain meter reads</w:t>
            </w:r>
            <w:r w:rsidR="00C66E41">
              <w:rPr>
                <w:rFonts w:ascii="Lato" w:hAnsi="Lato"/>
              </w:rPr>
              <w:t xml:space="preserve"> for settlement, etc</w:t>
            </w:r>
            <w:r w:rsidR="00565C2F">
              <w:rPr>
                <w:rFonts w:ascii="Lato" w:hAnsi="Lato"/>
              </w:rPr>
              <w:t xml:space="preserve">.  </w:t>
            </w:r>
            <w:r w:rsidR="00C66E41">
              <w:rPr>
                <w:rFonts w:ascii="Lato" w:hAnsi="Lato"/>
              </w:rPr>
              <w:t xml:space="preserve">Supplier use is therefore relatively stable and predictable.  We believe that other parties should be charged on a usage basis as they drive additional capacity needs for the system. </w:t>
            </w:r>
          </w:p>
        </w:tc>
      </w:tr>
      <w:tr w:rsidR="00F923FC" w:rsidRPr="00B56577" w14:paraId="4C5BC2E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5249EED" w14:textId="6CB02A42" w:rsidR="00F923FC" w:rsidRPr="00B56577" w:rsidRDefault="00F923FC" w:rsidP="00F923FC">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6</w:t>
            </w:r>
          </w:p>
        </w:tc>
        <w:tc>
          <w:tcPr>
            <w:tcW w:w="3571" w:type="pct"/>
            <w:vAlign w:val="center"/>
          </w:tcPr>
          <w:p w14:paraId="38F1AEF5" w14:textId="2CC4500C" w:rsidR="00F923FC" w:rsidRPr="00B56577"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D4132">
              <w:rPr>
                <w:rFonts w:ascii="Lato" w:hAnsi="Lato"/>
              </w:rPr>
              <w:t>Do you identify any risks or barriers in respect of the potential changes in DCC’s monitoring capabilities that might be required to set the basis on which Users are charged?</w:t>
            </w:r>
          </w:p>
        </w:tc>
        <w:tc>
          <w:tcPr>
            <w:tcW w:w="1063" w:type="pct"/>
            <w:vAlign w:val="center"/>
          </w:tcPr>
          <w:p w14:paraId="2AD1C412" w14:textId="6500D7C6" w:rsidR="00F923FC" w:rsidRPr="00B56577" w:rsidRDefault="00C406CD"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have not identified any risks or barriers to the technical solution, though the costs for such additional monitoring should be recovered from those parties that make it necessary. </w:t>
            </w:r>
          </w:p>
        </w:tc>
      </w:tr>
    </w:tbl>
    <w:p w14:paraId="6A71EEA8" w14:textId="77777777" w:rsidR="00F923FC" w:rsidRDefault="00F923FC"/>
    <w:p w14:paraId="614B2ED1" w14:textId="0803A3C8" w:rsidR="00F923FC" w:rsidRPr="00EB5957" w:rsidRDefault="00EB5957" w:rsidP="00EB5957">
      <w:pPr>
        <w:pStyle w:val="Heading2"/>
        <w:spacing w:before="220" w:after="220"/>
        <w:ind w:left="709" w:hanging="709"/>
        <w:rPr>
          <w:rFonts w:ascii="Lato" w:eastAsiaTheme="minorHAnsi" w:hAnsi="Lato" w:cstheme="minorBidi"/>
          <w:bCs w:val="0"/>
          <w:iCs w:val="0"/>
          <w:color w:val="CA005D"/>
          <w:szCs w:val="22"/>
        </w:rPr>
      </w:pPr>
      <w:r w:rsidRPr="00EB5957">
        <w:rPr>
          <w:rFonts w:ascii="Lato" w:eastAsiaTheme="minorHAnsi" w:hAnsi="Lato" w:cstheme="minorBidi"/>
          <w:bCs w:val="0"/>
          <w:iCs w:val="0"/>
          <w:color w:val="CA005D"/>
          <w:szCs w:val="22"/>
        </w:rPr>
        <w:t>Questions on data capture requirements on future demand</w:t>
      </w:r>
    </w:p>
    <w:tbl>
      <w:tblPr>
        <w:tblStyle w:val="TableTemplate1"/>
        <w:tblW w:w="5000" w:type="pct"/>
        <w:tblLook w:val="04A0" w:firstRow="1" w:lastRow="0" w:firstColumn="1" w:lastColumn="0" w:noHBand="0" w:noVBand="1"/>
      </w:tblPr>
      <w:tblGrid>
        <w:gridCol w:w="1020"/>
        <w:gridCol w:w="9955"/>
        <w:gridCol w:w="2963"/>
      </w:tblGrid>
      <w:tr w:rsidR="00EB5957" w:rsidRPr="00B56577" w14:paraId="7ADA4082" w14:textId="77777777" w:rsidTr="00EB5957">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65D70091" w14:textId="2D2D4CE2" w:rsidR="00EB5957" w:rsidRPr="00B56577" w:rsidRDefault="00EB5957" w:rsidP="00EB5957">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043DABD2" w14:textId="04B2FC40"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CF55567" w14:textId="17590BB2"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EB5957" w:rsidRPr="00B56577" w14:paraId="19CD45BB"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B1ED935" w14:textId="3A04A239" w:rsidR="00EB5957" w:rsidRPr="00B56577" w:rsidRDefault="00EB5957" w:rsidP="00EB5957">
            <w:pPr>
              <w:pStyle w:val="TableText-Left"/>
              <w:spacing w:line="276" w:lineRule="auto"/>
              <w:jc w:val="center"/>
              <w:rPr>
                <w:rFonts w:ascii="Lato" w:hAnsi="Lato"/>
              </w:rPr>
            </w:pPr>
            <w:r w:rsidRPr="00B56577">
              <w:rPr>
                <w:rFonts w:ascii="Lato" w:hAnsi="Lato"/>
                <w:color w:val="auto"/>
              </w:rPr>
              <w:t>Q</w:t>
            </w:r>
            <w:r>
              <w:rPr>
                <w:rFonts w:ascii="Lato" w:hAnsi="Lato"/>
                <w:color w:val="auto"/>
              </w:rPr>
              <w:t>7</w:t>
            </w:r>
          </w:p>
        </w:tc>
        <w:tc>
          <w:tcPr>
            <w:tcW w:w="3571" w:type="pct"/>
            <w:vAlign w:val="center"/>
          </w:tcPr>
          <w:p w14:paraId="097F9262" w14:textId="5ED0358E" w:rsidR="00EB5957" w:rsidRPr="00B34FD4"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34FD4">
              <w:rPr>
                <w:rFonts w:ascii="Lato" w:hAnsi="Lato"/>
              </w:rPr>
              <w:t>Do you have views on the process through which DCC should collect information on future demand across DCC Users?</w:t>
            </w:r>
          </w:p>
        </w:tc>
        <w:tc>
          <w:tcPr>
            <w:tcW w:w="1063" w:type="pct"/>
            <w:vAlign w:val="center"/>
          </w:tcPr>
          <w:p w14:paraId="7E1F820E" w14:textId="584335D3" w:rsidR="00EB5957" w:rsidRPr="00B56577" w:rsidRDefault="00EC7A0D"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have no views at this time</w:t>
            </w:r>
          </w:p>
        </w:tc>
      </w:tr>
      <w:tr w:rsidR="00EB5957" w:rsidRPr="00B56577" w14:paraId="56F25F43"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B1E9726" w14:textId="1EFF167C" w:rsidR="00EB5957" w:rsidRPr="00B56577" w:rsidRDefault="00EB5957" w:rsidP="00EB5957">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8</w:t>
            </w:r>
          </w:p>
        </w:tc>
        <w:tc>
          <w:tcPr>
            <w:tcW w:w="3571" w:type="pct"/>
            <w:vAlign w:val="center"/>
          </w:tcPr>
          <w:p w14:paraId="0F997735" w14:textId="10038644" w:rsidR="00EB5957" w:rsidRPr="00B56577"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7F39">
              <w:rPr>
                <w:rFonts w:ascii="Lato" w:hAnsi="Lato"/>
              </w:rPr>
              <w:t>Are there any barriers to providing DCC with such information?</w:t>
            </w:r>
          </w:p>
        </w:tc>
        <w:tc>
          <w:tcPr>
            <w:tcW w:w="1063" w:type="pct"/>
            <w:vAlign w:val="center"/>
          </w:tcPr>
          <w:p w14:paraId="0D7EDD09" w14:textId="36B353D6" w:rsidR="00EB5957" w:rsidRPr="00B56577" w:rsidRDefault="00EC7A0D"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have no views at this time</w:t>
            </w:r>
          </w:p>
        </w:tc>
      </w:tr>
    </w:tbl>
    <w:p w14:paraId="6583DB57" w14:textId="77777777" w:rsidR="0083049B" w:rsidRDefault="0083049B"/>
    <w:p w14:paraId="1B622E21" w14:textId="5C9991E7" w:rsidR="0083049B" w:rsidRPr="00680396" w:rsidRDefault="000D532A" w:rsidP="00680396">
      <w:pPr>
        <w:pStyle w:val="Heading2"/>
        <w:spacing w:before="220" w:after="220"/>
        <w:ind w:left="709" w:hanging="709"/>
        <w:rPr>
          <w:rFonts w:ascii="Lato" w:eastAsiaTheme="minorHAnsi" w:hAnsi="Lato" w:cstheme="minorBidi"/>
          <w:bCs w:val="0"/>
          <w:iCs w:val="0"/>
          <w:color w:val="CA005D"/>
          <w:szCs w:val="22"/>
        </w:rPr>
      </w:pPr>
      <w:r w:rsidRPr="000D532A">
        <w:rPr>
          <w:rFonts w:ascii="Lato" w:eastAsiaTheme="minorHAnsi" w:hAnsi="Lato" w:cstheme="minorBidi"/>
          <w:bCs w:val="0"/>
          <w:iCs w:val="0"/>
          <w:color w:val="CA005D"/>
          <w:szCs w:val="22"/>
        </w:rPr>
        <w:t>Questions on setting a materiality threshold</w:t>
      </w:r>
    </w:p>
    <w:tbl>
      <w:tblPr>
        <w:tblStyle w:val="TableTemplate1"/>
        <w:tblW w:w="5000" w:type="pct"/>
        <w:tblLook w:val="04A0" w:firstRow="1" w:lastRow="0" w:firstColumn="1" w:lastColumn="0" w:noHBand="0" w:noVBand="1"/>
      </w:tblPr>
      <w:tblGrid>
        <w:gridCol w:w="1020"/>
        <w:gridCol w:w="9955"/>
        <w:gridCol w:w="2963"/>
      </w:tblGrid>
      <w:tr w:rsidR="0083049B" w:rsidRPr="00B56577" w14:paraId="33DCC183" w14:textId="77777777" w:rsidTr="0083049B">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66" w:type="pct"/>
            <w:vAlign w:val="top"/>
          </w:tcPr>
          <w:p w14:paraId="02D149EB" w14:textId="46CDE0CC" w:rsidR="0083049B" w:rsidRPr="00B56577" w:rsidRDefault="0083049B" w:rsidP="0083049B">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320D75D8" w14:textId="6335C7E7"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96E9F29" w14:textId="2142C1EF"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83049B" w:rsidRPr="00B56577" w14:paraId="2BBE3F3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1E16EC7" w14:textId="4C6DD07F" w:rsidR="0083049B" w:rsidRPr="00B56577" w:rsidRDefault="0083049B" w:rsidP="0083049B">
            <w:pPr>
              <w:pStyle w:val="TableText-Left"/>
              <w:spacing w:line="276" w:lineRule="auto"/>
              <w:jc w:val="center"/>
              <w:rPr>
                <w:rFonts w:ascii="Lato" w:hAnsi="Lato"/>
              </w:rPr>
            </w:pPr>
            <w:r w:rsidRPr="00B56577">
              <w:rPr>
                <w:rFonts w:ascii="Lato" w:hAnsi="Lato"/>
                <w:color w:val="auto"/>
              </w:rPr>
              <w:t>Q</w:t>
            </w:r>
            <w:r>
              <w:rPr>
                <w:rFonts w:ascii="Lato" w:hAnsi="Lato"/>
                <w:color w:val="auto"/>
              </w:rPr>
              <w:t>9</w:t>
            </w:r>
          </w:p>
        </w:tc>
        <w:tc>
          <w:tcPr>
            <w:tcW w:w="3571" w:type="pct"/>
            <w:vAlign w:val="center"/>
          </w:tcPr>
          <w:p w14:paraId="306398C4" w14:textId="2BE47666" w:rsidR="0083049B" w:rsidRPr="0006438D"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6438D">
              <w:rPr>
                <w:rFonts w:ascii="Lato" w:hAnsi="Lato"/>
              </w:rPr>
              <w:t>Do you agree that a materiality threshold would need to be set to continue to enable innovation on the DCC Network, particularly under the DCC Other User role?</w:t>
            </w:r>
          </w:p>
        </w:tc>
        <w:tc>
          <w:tcPr>
            <w:tcW w:w="1063" w:type="pct"/>
            <w:vAlign w:val="center"/>
          </w:tcPr>
          <w:p w14:paraId="77E87430" w14:textId="020AAFCC" w:rsidR="0083049B" w:rsidRPr="00B56577" w:rsidRDefault="00D419E8"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No.  </w:t>
            </w:r>
            <w:r w:rsidR="00D40D50">
              <w:rPr>
                <w:rFonts w:ascii="Lato" w:hAnsi="Lato"/>
              </w:rPr>
              <w:t xml:space="preserve"> All usage of the DCC will impact create an additional cost, so should be charged for.</w:t>
            </w:r>
          </w:p>
        </w:tc>
      </w:tr>
      <w:tr w:rsidR="0083049B" w:rsidRPr="00B56577" w14:paraId="5F13B40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718D8D1" w14:textId="0E891A1D"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10</w:t>
            </w:r>
          </w:p>
        </w:tc>
        <w:tc>
          <w:tcPr>
            <w:tcW w:w="3571" w:type="pct"/>
            <w:vAlign w:val="center"/>
          </w:tcPr>
          <w:p w14:paraId="6F42B153" w14:textId="77BAA860"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A1494">
              <w:rPr>
                <w:rFonts w:ascii="Lato" w:hAnsi="Lato"/>
              </w:rPr>
              <w:t>In your view, how low should a threshold based on usage be set to avoid market distortions?</w:t>
            </w:r>
          </w:p>
        </w:tc>
        <w:tc>
          <w:tcPr>
            <w:tcW w:w="1063" w:type="pct"/>
            <w:vAlign w:val="center"/>
          </w:tcPr>
          <w:p w14:paraId="6C99B077" w14:textId="310483E9" w:rsidR="0083049B" w:rsidRPr="00B56577" w:rsidRDefault="00CA59A9"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Q9</w:t>
            </w:r>
          </w:p>
        </w:tc>
      </w:tr>
      <w:tr w:rsidR="0083049B" w:rsidRPr="00B56577" w14:paraId="09772BE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94D39CE" w14:textId="7FD56B25"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1</w:t>
            </w:r>
          </w:p>
        </w:tc>
        <w:tc>
          <w:tcPr>
            <w:tcW w:w="3571" w:type="pct"/>
            <w:vAlign w:val="center"/>
          </w:tcPr>
          <w:p w14:paraId="52AF91DD" w14:textId="5614125B"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04F7A">
              <w:rPr>
                <w:rFonts w:ascii="Lato" w:hAnsi="Lato"/>
              </w:rPr>
              <w:t>In your view, which type of organisations should be exempt from paying charges for their intended use of the network?</w:t>
            </w:r>
          </w:p>
        </w:tc>
        <w:tc>
          <w:tcPr>
            <w:tcW w:w="1063" w:type="pct"/>
            <w:vAlign w:val="center"/>
          </w:tcPr>
          <w:p w14:paraId="347BB90E" w14:textId="31BE4815" w:rsidR="0083049B" w:rsidRPr="00B56577" w:rsidRDefault="00CA59A9"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None</w:t>
            </w:r>
            <w:r w:rsidR="00F7330C">
              <w:rPr>
                <w:rFonts w:ascii="Lato" w:hAnsi="Lato"/>
              </w:rPr>
              <w:t>.  No</w:t>
            </w:r>
            <w:r>
              <w:rPr>
                <w:rFonts w:ascii="Lato" w:hAnsi="Lato"/>
              </w:rPr>
              <w:t xml:space="preserve"> organisations should be cross-subsidised by others when accessing the DCC systems. </w:t>
            </w:r>
          </w:p>
        </w:tc>
      </w:tr>
    </w:tbl>
    <w:p w14:paraId="0A7F3625" w14:textId="77777777" w:rsidR="000D532A" w:rsidRDefault="000D532A"/>
    <w:p w14:paraId="185999D5" w14:textId="5402673A" w:rsidR="000D532A" w:rsidRPr="00A24251" w:rsidRDefault="00A24251" w:rsidP="00A24251">
      <w:pPr>
        <w:pStyle w:val="Heading2"/>
        <w:spacing w:before="220" w:after="220"/>
        <w:ind w:left="709" w:hanging="709"/>
        <w:rPr>
          <w:rFonts w:ascii="Lato" w:eastAsiaTheme="minorHAnsi" w:hAnsi="Lato" w:cstheme="minorBidi"/>
          <w:bCs w:val="0"/>
          <w:iCs w:val="0"/>
          <w:color w:val="CA005D"/>
          <w:szCs w:val="22"/>
        </w:rPr>
      </w:pPr>
      <w:r w:rsidRPr="00A24251">
        <w:rPr>
          <w:rFonts w:ascii="Lato" w:eastAsiaTheme="minorHAnsi" w:hAnsi="Lato" w:cstheme="minorBidi"/>
          <w:bCs w:val="0"/>
          <w:iCs w:val="0"/>
          <w:color w:val="CA005D"/>
          <w:szCs w:val="22"/>
        </w:rPr>
        <w:t>Questions on ‘Read and Store’ capabilities</w:t>
      </w:r>
    </w:p>
    <w:tbl>
      <w:tblPr>
        <w:tblStyle w:val="TableTemplate1"/>
        <w:tblW w:w="5000" w:type="pct"/>
        <w:tblLook w:val="04A0" w:firstRow="1" w:lastRow="0" w:firstColumn="1" w:lastColumn="0" w:noHBand="0" w:noVBand="1"/>
      </w:tblPr>
      <w:tblGrid>
        <w:gridCol w:w="1020"/>
        <w:gridCol w:w="9955"/>
        <w:gridCol w:w="2963"/>
      </w:tblGrid>
      <w:tr w:rsidR="00B72AA1" w:rsidRPr="00B56577" w14:paraId="35ABDF19" w14:textId="77777777" w:rsidTr="00B72AA1">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66" w:type="pct"/>
            <w:vAlign w:val="top"/>
          </w:tcPr>
          <w:p w14:paraId="3BD4AEBA" w14:textId="76F29A4E" w:rsidR="00B72AA1" w:rsidRPr="00B56577" w:rsidRDefault="00B72AA1" w:rsidP="00B72AA1">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693FEF8F" w14:textId="00EDF656"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54D6208F" w14:textId="3209B594"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B72AA1" w:rsidRPr="00B56577" w14:paraId="4920AC45"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81B5E72" w14:textId="17EFCE9B" w:rsidR="00B72AA1" w:rsidRPr="00B56577" w:rsidRDefault="00B72AA1" w:rsidP="00B72AA1">
            <w:pPr>
              <w:pStyle w:val="TableText-Left"/>
              <w:spacing w:line="276" w:lineRule="auto"/>
              <w:jc w:val="center"/>
              <w:rPr>
                <w:rFonts w:ascii="Lato" w:hAnsi="Lato"/>
              </w:rPr>
            </w:pPr>
            <w:r w:rsidRPr="00B56577">
              <w:rPr>
                <w:rFonts w:ascii="Lato" w:hAnsi="Lato"/>
                <w:color w:val="auto"/>
              </w:rPr>
              <w:t>Q1</w:t>
            </w:r>
            <w:r>
              <w:rPr>
                <w:rFonts w:ascii="Lato" w:hAnsi="Lato"/>
                <w:color w:val="auto"/>
              </w:rPr>
              <w:t>2</w:t>
            </w:r>
          </w:p>
        </w:tc>
        <w:tc>
          <w:tcPr>
            <w:tcW w:w="3571" w:type="pct"/>
            <w:vAlign w:val="center"/>
          </w:tcPr>
          <w:p w14:paraId="4D033CAA" w14:textId="65D5DC22" w:rsidR="00B72AA1" w:rsidRPr="00474F0E" w:rsidRDefault="00B72AA1"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74F0E">
              <w:rPr>
                <w:rFonts w:ascii="Lato" w:hAnsi="Lato"/>
              </w:rPr>
              <w:t>Do you have any insights on how smart meter data repositories could impact your use of DCC’s network?</w:t>
            </w:r>
          </w:p>
        </w:tc>
        <w:tc>
          <w:tcPr>
            <w:tcW w:w="1063" w:type="pct"/>
            <w:vAlign w:val="center"/>
          </w:tcPr>
          <w:p w14:paraId="103B2C56" w14:textId="442ED567" w:rsidR="00B72AA1" w:rsidRPr="00B56577" w:rsidRDefault="004639A3"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have no comments at this time. </w:t>
            </w:r>
          </w:p>
        </w:tc>
      </w:tr>
    </w:tbl>
    <w:p w14:paraId="69ADB51B" w14:textId="77777777" w:rsidR="00A90540" w:rsidRDefault="00A90540"/>
    <w:p w14:paraId="75770157" w14:textId="63FA2CA6" w:rsidR="00A90540" w:rsidRPr="00A90540" w:rsidRDefault="00A90540" w:rsidP="00A9054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Questions on charging option 1</w:t>
      </w:r>
    </w:p>
    <w:tbl>
      <w:tblPr>
        <w:tblStyle w:val="TableTemplate1"/>
        <w:tblW w:w="5000" w:type="pct"/>
        <w:tblLook w:val="04A0" w:firstRow="1" w:lastRow="0" w:firstColumn="1" w:lastColumn="0" w:noHBand="0" w:noVBand="1"/>
      </w:tblPr>
      <w:tblGrid>
        <w:gridCol w:w="1020"/>
        <w:gridCol w:w="9955"/>
        <w:gridCol w:w="2963"/>
      </w:tblGrid>
      <w:tr w:rsidR="00A90540" w:rsidRPr="00B56577" w14:paraId="07A4EDCA" w14:textId="77777777" w:rsidTr="00A90540">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33999FFA" w14:textId="14231DAE" w:rsidR="00A90540" w:rsidRPr="00B56577" w:rsidRDefault="00A90540" w:rsidP="00A90540">
            <w:pPr>
              <w:pStyle w:val="TableText-Left"/>
              <w:spacing w:line="276" w:lineRule="auto"/>
              <w:jc w:val="center"/>
              <w:rPr>
                <w:rFonts w:ascii="Lato" w:hAnsi="Lato"/>
              </w:rPr>
            </w:pPr>
            <w:r w:rsidRPr="00B56577">
              <w:rPr>
                <w:rFonts w:ascii="Lato" w:hAnsi="Lato"/>
              </w:rPr>
              <w:t>Numb</w:t>
            </w:r>
            <w:r>
              <w:rPr>
                <w:rFonts w:ascii="Lato" w:hAnsi="Lato"/>
              </w:rPr>
              <w:t>er</w:t>
            </w:r>
          </w:p>
        </w:tc>
        <w:tc>
          <w:tcPr>
            <w:tcW w:w="3571" w:type="pct"/>
            <w:vAlign w:val="top"/>
          </w:tcPr>
          <w:p w14:paraId="279B1383" w14:textId="223660FF" w:rsidR="00A90540" w:rsidRPr="0042566F"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03484C54" w14:textId="1B33E6BD" w:rsidR="00A90540" w:rsidRPr="00B56577"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A90540" w:rsidRPr="00B56577" w14:paraId="003E35D2"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0D909A3" w14:textId="33DDDCFF" w:rsidR="00A90540" w:rsidRPr="00B56577" w:rsidRDefault="00A90540" w:rsidP="00A90540">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3</w:t>
            </w:r>
          </w:p>
        </w:tc>
        <w:tc>
          <w:tcPr>
            <w:tcW w:w="3571" w:type="pct"/>
            <w:vAlign w:val="center"/>
          </w:tcPr>
          <w:p w14:paraId="6153853C" w14:textId="3025749F"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566F">
              <w:rPr>
                <w:rFonts w:ascii="Lato" w:hAnsi="Lato"/>
              </w:rPr>
              <w:t xml:space="preserve">Do you agree with our initial assessment </w:t>
            </w:r>
            <w:r w:rsidRPr="00FB6C2F">
              <w:rPr>
                <w:rFonts w:ascii="Lato" w:hAnsi="Lato"/>
              </w:rPr>
              <w:t xml:space="preserve">of the impact of </w:t>
            </w:r>
            <w:r w:rsidRPr="0042566F">
              <w:rPr>
                <w:rFonts w:ascii="Lato" w:hAnsi="Lato"/>
              </w:rPr>
              <w:t>charging option</w:t>
            </w:r>
            <w:r>
              <w:rPr>
                <w:rFonts w:ascii="Lato" w:hAnsi="Lato"/>
              </w:rPr>
              <w:t xml:space="preserve"> 1</w:t>
            </w:r>
            <w:r w:rsidRPr="0042566F">
              <w:rPr>
                <w:rFonts w:ascii="Lato" w:hAnsi="Lato"/>
              </w:rPr>
              <w:t>?</w:t>
            </w:r>
          </w:p>
        </w:tc>
        <w:tc>
          <w:tcPr>
            <w:tcW w:w="1063" w:type="pct"/>
            <w:vAlign w:val="center"/>
          </w:tcPr>
          <w:p w14:paraId="5C2B3286" w14:textId="5A8CD244" w:rsidR="00A90540" w:rsidRPr="00B56577" w:rsidRDefault="00E103DC"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agree with the initial assessment. </w:t>
            </w:r>
          </w:p>
        </w:tc>
      </w:tr>
      <w:tr w:rsidR="00A90540" w:rsidRPr="00B56577" w14:paraId="1A3BA58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766E8F9" w14:textId="3653EC67" w:rsidR="00A90540" w:rsidRPr="00B56577" w:rsidRDefault="00A90540" w:rsidP="00A90540">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4</w:t>
            </w:r>
          </w:p>
        </w:tc>
        <w:tc>
          <w:tcPr>
            <w:tcW w:w="3571" w:type="pct"/>
            <w:vAlign w:val="center"/>
          </w:tcPr>
          <w:p w14:paraId="62044F61" w14:textId="5871403C"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800E58">
              <w:rPr>
                <w:rFonts w:ascii="Lato" w:hAnsi="Lato"/>
              </w:rPr>
              <w:t>Do you think that the current charging arrangements should be retained or replaced, and why?</w:t>
            </w:r>
          </w:p>
        </w:tc>
        <w:tc>
          <w:tcPr>
            <w:tcW w:w="1063" w:type="pct"/>
            <w:vAlign w:val="center"/>
          </w:tcPr>
          <w:p w14:paraId="1CDCB93F" w14:textId="52E38440" w:rsidR="00310E2D" w:rsidRDefault="00E103DC"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As </w:t>
            </w:r>
            <w:r w:rsidR="00310E2D">
              <w:rPr>
                <w:rFonts w:ascii="Lato" w:hAnsi="Lato"/>
              </w:rPr>
              <w:t>recognised</w:t>
            </w:r>
            <w:r>
              <w:rPr>
                <w:rFonts w:ascii="Lato" w:hAnsi="Lato"/>
              </w:rPr>
              <w:t xml:space="preserve"> by the DCC in paragraph </w:t>
            </w:r>
            <w:r w:rsidR="00590851">
              <w:rPr>
                <w:rFonts w:ascii="Lato" w:hAnsi="Lato"/>
              </w:rPr>
              <w:t>41, suppliers have limited capability to reduce their use of the DCC network, so a fixed charge p</w:t>
            </w:r>
            <w:r w:rsidR="00027010">
              <w:rPr>
                <w:rFonts w:ascii="Lato" w:hAnsi="Lato"/>
              </w:rPr>
              <w:t>e</w:t>
            </w:r>
            <w:r w:rsidR="00590851">
              <w:rPr>
                <w:rFonts w:ascii="Lato" w:hAnsi="Lato"/>
              </w:rPr>
              <w:t xml:space="preserve">r meter point should be retained for suppliers </w:t>
            </w:r>
            <w:r w:rsidR="00293416">
              <w:rPr>
                <w:rFonts w:ascii="Lato" w:hAnsi="Lato"/>
              </w:rPr>
              <w:t>as it is simple to manage</w:t>
            </w:r>
            <w:r w:rsidR="00027010">
              <w:rPr>
                <w:rFonts w:ascii="Lato" w:hAnsi="Lato"/>
              </w:rPr>
              <w:t>,</w:t>
            </w:r>
            <w:r w:rsidR="00293416">
              <w:rPr>
                <w:rFonts w:ascii="Lato" w:hAnsi="Lato"/>
              </w:rPr>
              <w:t xml:space="preserve"> and equitable.   </w:t>
            </w:r>
            <w:r w:rsidR="00310E2D">
              <w:rPr>
                <w:rFonts w:ascii="Lato" w:hAnsi="Lato"/>
              </w:rPr>
              <w:t xml:space="preserve">The cost per meter point should reduce however to reflect the </w:t>
            </w:r>
            <w:r w:rsidR="00EB3816">
              <w:rPr>
                <w:rFonts w:ascii="Lato" w:hAnsi="Lato"/>
              </w:rPr>
              <w:t xml:space="preserve">reduce proportion of the DCC’s systems that supplier currently </w:t>
            </w:r>
            <w:r w:rsidR="00027010">
              <w:rPr>
                <w:rFonts w:ascii="Lato" w:hAnsi="Lato"/>
              </w:rPr>
              <w:t>utilise compared to their current funding share.</w:t>
            </w:r>
          </w:p>
          <w:p w14:paraId="62208248" w14:textId="77777777" w:rsidR="00310E2D" w:rsidRDefault="00310E2D"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5A661B8C" w14:textId="6E00D092" w:rsidR="00A90540" w:rsidRPr="00B56577" w:rsidRDefault="00293416"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believe that </w:t>
            </w:r>
            <w:r w:rsidR="00310E2D">
              <w:rPr>
                <w:rFonts w:ascii="Lato" w:hAnsi="Lato"/>
              </w:rPr>
              <w:t xml:space="preserve">a move to a usage-based charging system </w:t>
            </w:r>
            <w:r w:rsidR="00EB3816">
              <w:rPr>
                <w:rFonts w:ascii="Lato" w:hAnsi="Lato"/>
              </w:rPr>
              <w:t xml:space="preserve">is appropriate for other DCC User categories. </w:t>
            </w:r>
          </w:p>
        </w:tc>
      </w:tr>
    </w:tbl>
    <w:p w14:paraId="27EE8796" w14:textId="77777777" w:rsidR="00F15596" w:rsidRDefault="00F15596"/>
    <w:p w14:paraId="71981D70" w14:textId="13384229" w:rsidR="00714724" w:rsidRPr="00714724" w:rsidRDefault="00714724" w:rsidP="00714724">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2</w:t>
      </w:r>
    </w:p>
    <w:tbl>
      <w:tblPr>
        <w:tblStyle w:val="TableTemplate1"/>
        <w:tblW w:w="5000" w:type="pct"/>
        <w:tblLook w:val="04A0" w:firstRow="1" w:lastRow="0" w:firstColumn="1" w:lastColumn="0" w:noHBand="0" w:noVBand="1"/>
      </w:tblPr>
      <w:tblGrid>
        <w:gridCol w:w="1020"/>
        <w:gridCol w:w="9955"/>
        <w:gridCol w:w="2963"/>
      </w:tblGrid>
      <w:tr w:rsidR="00F15596" w:rsidRPr="00B56577" w14:paraId="3FC27B6E" w14:textId="77777777" w:rsidTr="00F15596">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66" w:type="pct"/>
            <w:vAlign w:val="top"/>
          </w:tcPr>
          <w:p w14:paraId="31169307" w14:textId="596C7BB1" w:rsidR="00F15596" w:rsidRPr="00DE5A35" w:rsidRDefault="00F15596" w:rsidP="00F155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4A134FB4" w14:textId="6710D668" w:rsidR="00F15596" w:rsidRPr="00800E58"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1E59643" w14:textId="0BFE3ABC" w:rsidR="00F15596" w:rsidRPr="00B56577"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15596" w:rsidRPr="00B56577" w14:paraId="394B496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16F1884" w14:textId="77252E1B" w:rsidR="00F15596" w:rsidRPr="00DE5A35" w:rsidRDefault="00F15596" w:rsidP="00F15596">
            <w:pPr>
              <w:pStyle w:val="TableText-Left"/>
              <w:spacing w:line="276" w:lineRule="auto"/>
              <w:jc w:val="center"/>
              <w:rPr>
                <w:rFonts w:ascii="Lato" w:hAnsi="Lato"/>
              </w:rPr>
            </w:pPr>
            <w:r w:rsidRPr="00DE5A35">
              <w:rPr>
                <w:rFonts w:ascii="Lato" w:hAnsi="Lato"/>
                <w:color w:val="auto"/>
              </w:rPr>
              <w:t>Q15</w:t>
            </w:r>
          </w:p>
        </w:tc>
        <w:tc>
          <w:tcPr>
            <w:tcW w:w="3571" w:type="pct"/>
            <w:vAlign w:val="center"/>
          </w:tcPr>
          <w:p w14:paraId="7E0C71C4" w14:textId="6866BABE" w:rsidR="00F15596" w:rsidRPr="00DE5A35"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Do you agree with our initial assessment </w:t>
            </w:r>
            <w:r w:rsidRPr="00FB6C2F">
              <w:rPr>
                <w:rFonts w:ascii="Lato" w:hAnsi="Lato"/>
              </w:rPr>
              <w:t xml:space="preserve">of the impact of </w:t>
            </w:r>
            <w:r w:rsidRPr="00DE5A35">
              <w:rPr>
                <w:rFonts w:ascii="Lato" w:hAnsi="Lato"/>
              </w:rPr>
              <w:t>charging option</w:t>
            </w:r>
            <w:r>
              <w:rPr>
                <w:rFonts w:ascii="Lato" w:hAnsi="Lato"/>
              </w:rPr>
              <w:t xml:space="preserve"> 2</w:t>
            </w:r>
            <w:r w:rsidRPr="00DE5A35">
              <w:rPr>
                <w:rFonts w:ascii="Lato" w:hAnsi="Lato"/>
              </w:rPr>
              <w:t>?</w:t>
            </w:r>
          </w:p>
        </w:tc>
        <w:tc>
          <w:tcPr>
            <w:tcW w:w="1063" w:type="pct"/>
            <w:vAlign w:val="center"/>
          </w:tcPr>
          <w:p w14:paraId="3E756909" w14:textId="44697E02" w:rsidR="00F15596" w:rsidRPr="00B56577" w:rsidRDefault="00F57893"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have not undertaken a detail analysis of options </w:t>
            </w:r>
            <w:r w:rsidR="00457358">
              <w:rPr>
                <w:rFonts w:ascii="Lato" w:hAnsi="Lato"/>
              </w:rPr>
              <w:t>2-5 but</w:t>
            </w:r>
            <w:r>
              <w:rPr>
                <w:rFonts w:ascii="Lato" w:hAnsi="Lato"/>
              </w:rPr>
              <w:t xml:space="preserve"> believe that </w:t>
            </w:r>
            <w:r w:rsidR="0009022A">
              <w:rPr>
                <w:rFonts w:ascii="Lato" w:hAnsi="Lato"/>
              </w:rPr>
              <w:t>parties other than suppliers should be charged for the use of the DCC systems based on</w:t>
            </w:r>
            <w:r w:rsidR="00EF4B17">
              <w:rPr>
                <w:rFonts w:ascii="Lato" w:hAnsi="Lato"/>
              </w:rPr>
              <w:t xml:space="preserve"> a proportion of their system use.   We believe</w:t>
            </w:r>
            <w:r w:rsidR="00E56B82">
              <w:rPr>
                <w:rFonts w:ascii="Lato" w:hAnsi="Lato"/>
              </w:rPr>
              <w:t xml:space="preserve"> that the current mechanism for charging suppliers should remain as currently, though with a lower charge per meter to reflect </w:t>
            </w:r>
            <w:r w:rsidR="00457358">
              <w:rPr>
                <w:rFonts w:ascii="Lato" w:hAnsi="Lato"/>
              </w:rPr>
              <w:t xml:space="preserve">the increased </w:t>
            </w:r>
            <w:r w:rsidR="00E56B82">
              <w:rPr>
                <w:rFonts w:ascii="Lato" w:hAnsi="Lato"/>
              </w:rPr>
              <w:t xml:space="preserve">cost recovery from other sectors. </w:t>
            </w:r>
          </w:p>
        </w:tc>
      </w:tr>
      <w:tr w:rsidR="00F15596" w:rsidRPr="00B56577" w14:paraId="5A370E54"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EE67D0A" w14:textId="08C248DC"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Q16</w:t>
            </w:r>
          </w:p>
        </w:tc>
        <w:tc>
          <w:tcPr>
            <w:tcW w:w="3571" w:type="pct"/>
            <w:vAlign w:val="center"/>
          </w:tcPr>
          <w:p w14:paraId="5B57A1F4" w14:textId="7F2D31BC"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How should weighting factors be calculated and updated?</w:t>
            </w:r>
          </w:p>
        </w:tc>
        <w:tc>
          <w:tcPr>
            <w:tcW w:w="1063" w:type="pct"/>
            <w:vAlign w:val="center"/>
          </w:tcPr>
          <w:p w14:paraId="4BECE5C2" w14:textId="5403015B" w:rsidR="00F15596" w:rsidRPr="00B56577" w:rsidRDefault="00E56B82" w:rsidP="00E56B8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E56B82" w:rsidRPr="00B56577" w14:paraId="32E42DBE"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A9A543F" w14:textId="61AF86C7" w:rsidR="00E56B82" w:rsidRPr="00DE5A35" w:rsidRDefault="00E56B82" w:rsidP="00E56B82">
            <w:pPr>
              <w:pStyle w:val="TableText-Left"/>
              <w:spacing w:line="276" w:lineRule="auto"/>
              <w:jc w:val="center"/>
              <w:rPr>
                <w:rFonts w:ascii="Lato" w:hAnsi="Lato"/>
                <w:color w:val="auto"/>
              </w:rPr>
            </w:pPr>
            <w:r w:rsidRPr="00DE5A35">
              <w:rPr>
                <w:rFonts w:ascii="Lato" w:hAnsi="Lato"/>
                <w:color w:val="auto"/>
              </w:rPr>
              <w:t>Q17</w:t>
            </w:r>
          </w:p>
        </w:tc>
        <w:tc>
          <w:tcPr>
            <w:tcW w:w="3571" w:type="pct"/>
            <w:vAlign w:val="center"/>
          </w:tcPr>
          <w:p w14:paraId="1D9ED0E7" w14:textId="0796D525" w:rsidR="00E56B82" w:rsidRPr="00800E58" w:rsidRDefault="00E56B82" w:rsidP="00E56B8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Are there any other impacts or design considerations that should be captured</w:t>
            </w:r>
            <w:r>
              <w:rPr>
                <w:rFonts w:ascii="Lato" w:hAnsi="Lato"/>
              </w:rPr>
              <w:t xml:space="preserve"> under charging option 2</w:t>
            </w:r>
            <w:r w:rsidRPr="00DE5A35">
              <w:rPr>
                <w:rFonts w:ascii="Lato" w:hAnsi="Lato"/>
              </w:rPr>
              <w:t>?</w:t>
            </w:r>
          </w:p>
        </w:tc>
        <w:tc>
          <w:tcPr>
            <w:tcW w:w="1063" w:type="pct"/>
            <w:vAlign w:val="center"/>
          </w:tcPr>
          <w:p w14:paraId="70C0E37D" w14:textId="2D9FB98F" w:rsidR="00E56B82" w:rsidRPr="00B56577" w:rsidRDefault="00E56B82" w:rsidP="00E56B8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E56B82" w:rsidRPr="00B56577" w14:paraId="6C0ECDC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5A39241" w14:textId="07FEFA9A" w:rsidR="00E56B82" w:rsidRPr="00DE5A35" w:rsidRDefault="00E56B82" w:rsidP="00E56B82">
            <w:pPr>
              <w:pStyle w:val="TableText-Left"/>
              <w:spacing w:line="276" w:lineRule="auto"/>
              <w:jc w:val="center"/>
              <w:rPr>
                <w:rFonts w:ascii="Lato" w:hAnsi="Lato"/>
                <w:color w:val="auto"/>
              </w:rPr>
            </w:pPr>
            <w:r w:rsidRPr="00DE5A35">
              <w:rPr>
                <w:rFonts w:ascii="Lato" w:hAnsi="Lato"/>
                <w:color w:val="auto"/>
              </w:rPr>
              <w:t>Q18</w:t>
            </w:r>
          </w:p>
        </w:tc>
        <w:tc>
          <w:tcPr>
            <w:tcW w:w="3571" w:type="pct"/>
            <w:vAlign w:val="center"/>
          </w:tcPr>
          <w:p w14:paraId="1F2EAE7E" w14:textId="1317B36D" w:rsidR="00E56B82" w:rsidRPr="00800E58" w:rsidRDefault="00E56B82" w:rsidP="00E56B8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How should the risk of under/over recovery be addressed under </w:t>
            </w:r>
            <w:r>
              <w:rPr>
                <w:rFonts w:ascii="Lato" w:hAnsi="Lato"/>
              </w:rPr>
              <w:t>charging</w:t>
            </w:r>
            <w:r w:rsidRPr="00DE5A35">
              <w:rPr>
                <w:rFonts w:ascii="Lato" w:hAnsi="Lato"/>
              </w:rPr>
              <w:t xml:space="preserve"> option</w:t>
            </w:r>
            <w:r>
              <w:rPr>
                <w:rFonts w:ascii="Lato" w:hAnsi="Lato"/>
              </w:rPr>
              <w:t xml:space="preserve"> 2</w:t>
            </w:r>
            <w:r w:rsidRPr="00DE5A35">
              <w:rPr>
                <w:rFonts w:ascii="Lato" w:hAnsi="Lato"/>
              </w:rPr>
              <w:t>?</w:t>
            </w:r>
          </w:p>
        </w:tc>
        <w:tc>
          <w:tcPr>
            <w:tcW w:w="1063" w:type="pct"/>
            <w:vAlign w:val="center"/>
          </w:tcPr>
          <w:p w14:paraId="5CE8DA62" w14:textId="63F0413E" w:rsidR="00E56B82" w:rsidRPr="00B56577" w:rsidRDefault="00E56B82" w:rsidP="00E56B8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bl>
    <w:p w14:paraId="7B0C9A01" w14:textId="77777777" w:rsidR="00377B32" w:rsidRDefault="00377B32"/>
    <w:p w14:paraId="0BB5E558" w14:textId="40EF5A26" w:rsidR="00992DEC" w:rsidRPr="00992DEC" w:rsidRDefault="00992DEC" w:rsidP="00992DEC">
      <w:pPr>
        <w:pStyle w:val="Heading2"/>
        <w:spacing w:before="220" w:after="220"/>
        <w:ind w:left="709" w:hanging="709"/>
        <w:rPr>
          <w:rFonts w:ascii="Lato" w:eastAsiaTheme="minorHAnsi" w:hAnsi="Lato" w:cstheme="minorBidi"/>
          <w:bCs w:val="0"/>
          <w:iCs w:val="0"/>
          <w:color w:val="CA005D"/>
          <w:szCs w:val="22"/>
        </w:rPr>
      </w:pPr>
      <w:r w:rsidRPr="00992DEC">
        <w:rPr>
          <w:rFonts w:ascii="Lato" w:eastAsiaTheme="minorHAnsi" w:hAnsi="Lato" w:cstheme="minorBidi"/>
          <w:bCs w:val="0"/>
          <w:iCs w:val="0"/>
          <w:color w:val="CA005D"/>
          <w:szCs w:val="22"/>
        </w:rPr>
        <w:t xml:space="preserve">Questions on the approach to banding under </w:t>
      </w:r>
      <w:r>
        <w:rPr>
          <w:rFonts w:ascii="Lato" w:eastAsiaTheme="minorHAnsi" w:hAnsi="Lato" w:cstheme="minorBidi"/>
          <w:bCs w:val="0"/>
          <w:iCs w:val="0"/>
          <w:color w:val="CA005D"/>
          <w:szCs w:val="22"/>
        </w:rPr>
        <w:t>charging o</w:t>
      </w:r>
      <w:r w:rsidRPr="00992DEC">
        <w:rPr>
          <w:rFonts w:ascii="Lato" w:eastAsiaTheme="minorHAnsi" w:hAnsi="Lato" w:cstheme="minorBidi"/>
          <w:bCs w:val="0"/>
          <w:iCs w:val="0"/>
          <w:color w:val="CA005D"/>
          <w:szCs w:val="22"/>
        </w:rPr>
        <w:t>ption 3</w:t>
      </w:r>
    </w:p>
    <w:tbl>
      <w:tblPr>
        <w:tblStyle w:val="TableTemplate1"/>
        <w:tblW w:w="5000" w:type="pct"/>
        <w:tblLook w:val="04A0" w:firstRow="1" w:lastRow="0" w:firstColumn="1" w:lastColumn="0" w:noHBand="0" w:noVBand="1"/>
      </w:tblPr>
      <w:tblGrid>
        <w:gridCol w:w="1020"/>
        <w:gridCol w:w="9955"/>
        <w:gridCol w:w="2963"/>
      </w:tblGrid>
      <w:tr w:rsidR="009C4A2E" w:rsidRPr="00B56577" w14:paraId="1FD1AB5E" w14:textId="77777777" w:rsidTr="009C4A2E">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224982BF" w14:textId="642FE4EB" w:rsidR="009C4A2E" w:rsidRPr="00B43A8D" w:rsidRDefault="009C4A2E" w:rsidP="009C4A2E">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79299686" w14:textId="3F3897B4" w:rsidR="009C4A2E" w:rsidRPr="00DE5A35"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B809B46" w14:textId="7920A815" w:rsidR="009C4A2E" w:rsidRPr="00B56577"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E56B82" w:rsidRPr="00B56577" w14:paraId="6C89B8D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ABA427C" w14:textId="640CC703" w:rsidR="00E56B82" w:rsidRPr="00B43A8D" w:rsidRDefault="00E56B82" w:rsidP="00E56B82">
            <w:pPr>
              <w:pStyle w:val="TableText-Left"/>
              <w:spacing w:line="276" w:lineRule="auto"/>
              <w:jc w:val="center"/>
              <w:rPr>
                <w:rFonts w:ascii="Lato" w:hAnsi="Lato"/>
              </w:rPr>
            </w:pPr>
            <w:r w:rsidRPr="00B43A8D">
              <w:rPr>
                <w:rFonts w:ascii="Lato" w:hAnsi="Lato"/>
                <w:color w:val="auto"/>
              </w:rPr>
              <w:t>Q19</w:t>
            </w:r>
          </w:p>
        </w:tc>
        <w:tc>
          <w:tcPr>
            <w:tcW w:w="3571" w:type="pct"/>
            <w:vAlign w:val="center"/>
          </w:tcPr>
          <w:p w14:paraId="369570C1" w14:textId="593B9A7A" w:rsidR="00E56B82" w:rsidRPr="00B43A8D" w:rsidRDefault="00E56B82" w:rsidP="00E56B8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In your view, how should DCC design bands of fixed charges and should they be the same across all User Categories? You can refer to any of the stylised examples described above to answer this question or propose alternative approaches that you would like DCC to consider.</w:t>
            </w:r>
          </w:p>
        </w:tc>
        <w:tc>
          <w:tcPr>
            <w:tcW w:w="1063" w:type="pct"/>
            <w:vAlign w:val="center"/>
          </w:tcPr>
          <w:p w14:paraId="1E137C06" w14:textId="348EF9FB" w:rsidR="00E56B82" w:rsidRPr="00B56577" w:rsidRDefault="00E56B82" w:rsidP="00E56B8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E56B82" w:rsidRPr="00B56577" w14:paraId="322679E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75B3E58" w14:textId="3C17AC8F" w:rsidR="00E56B82" w:rsidRPr="00B43A8D" w:rsidRDefault="00E56B82" w:rsidP="00E56B82">
            <w:pPr>
              <w:pStyle w:val="TableText-Left"/>
              <w:spacing w:line="276" w:lineRule="auto"/>
              <w:jc w:val="center"/>
              <w:rPr>
                <w:rFonts w:ascii="Lato" w:hAnsi="Lato"/>
                <w:color w:val="auto"/>
              </w:rPr>
            </w:pPr>
            <w:r w:rsidRPr="00B43A8D">
              <w:rPr>
                <w:rFonts w:ascii="Lato" w:hAnsi="Lato"/>
                <w:color w:val="auto"/>
              </w:rPr>
              <w:t>Q20</w:t>
            </w:r>
          </w:p>
        </w:tc>
        <w:tc>
          <w:tcPr>
            <w:tcW w:w="3571" w:type="pct"/>
            <w:vAlign w:val="center"/>
          </w:tcPr>
          <w:p w14:paraId="0273B44D" w14:textId="580503D6" w:rsidR="00E56B82" w:rsidRPr="00DE5A35" w:rsidRDefault="00E56B82" w:rsidP="00E56B8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 xml:space="preserve">What would be a reasonable number of bands to set charges (at least initially)? </w:t>
            </w:r>
          </w:p>
        </w:tc>
        <w:tc>
          <w:tcPr>
            <w:tcW w:w="1063" w:type="pct"/>
            <w:vAlign w:val="center"/>
          </w:tcPr>
          <w:p w14:paraId="2BD8AB0A" w14:textId="2159AEA3" w:rsidR="00E56B82" w:rsidRPr="00B56577" w:rsidRDefault="00E56B82" w:rsidP="00E56B8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E56B82" w:rsidRPr="00B56577" w14:paraId="1F6A6E2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2C79ED7" w14:textId="146C288A" w:rsidR="00E56B82" w:rsidRPr="00B43A8D" w:rsidRDefault="00E56B82" w:rsidP="00E56B82">
            <w:pPr>
              <w:pStyle w:val="TableText-Left"/>
              <w:spacing w:line="276" w:lineRule="auto"/>
              <w:jc w:val="center"/>
              <w:rPr>
                <w:rFonts w:ascii="Lato" w:hAnsi="Lato"/>
                <w:color w:val="auto"/>
              </w:rPr>
            </w:pPr>
            <w:r w:rsidRPr="00B43A8D">
              <w:rPr>
                <w:rFonts w:ascii="Lato" w:hAnsi="Lato"/>
                <w:color w:val="auto"/>
              </w:rPr>
              <w:t>Q21</w:t>
            </w:r>
          </w:p>
        </w:tc>
        <w:tc>
          <w:tcPr>
            <w:tcW w:w="3571" w:type="pct"/>
            <w:vAlign w:val="center"/>
          </w:tcPr>
          <w:p w14:paraId="3F2541D2" w14:textId="537103A1" w:rsidR="00E56B82" w:rsidRPr="00DE5A35" w:rsidRDefault="00E56B82" w:rsidP="00E56B8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How should the differential of charges between bands be determined?</w:t>
            </w:r>
          </w:p>
        </w:tc>
        <w:tc>
          <w:tcPr>
            <w:tcW w:w="1063" w:type="pct"/>
            <w:vAlign w:val="center"/>
          </w:tcPr>
          <w:p w14:paraId="135ADA03" w14:textId="4FF04F18" w:rsidR="00E56B82" w:rsidRPr="00B56577" w:rsidRDefault="00E56B82" w:rsidP="00E56B8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bl>
    <w:p w14:paraId="22E33468" w14:textId="77777777" w:rsidR="00675CD5" w:rsidRDefault="00675CD5"/>
    <w:p w14:paraId="49AA92D4" w14:textId="009A4BC4" w:rsidR="00675CD5" w:rsidRPr="00675CD5" w:rsidRDefault="00675CD5" w:rsidP="00675CD5">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3</w:t>
      </w:r>
    </w:p>
    <w:tbl>
      <w:tblPr>
        <w:tblStyle w:val="TableTemplate1"/>
        <w:tblW w:w="5000" w:type="pct"/>
        <w:tblLook w:val="04A0" w:firstRow="1" w:lastRow="0" w:firstColumn="1" w:lastColumn="0" w:noHBand="0" w:noVBand="1"/>
      </w:tblPr>
      <w:tblGrid>
        <w:gridCol w:w="1020"/>
        <w:gridCol w:w="9955"/>
        <w:gridCol w:w="2963"/>
      </w:tblGrid>
      <w:tr w:rsidR="00675CD5" w:rsidRPr="00B56577" w14:paraId="4D357FAC" w14:textId="77777777" w:rsidTr="00675CD5">
        <w:trPr>
          <w:cnfStyle w:val="100000000000" w:firstRow="1" w:lastRow="0" w:firstColumn="0" w:lastColumn="0" w:oddVBand="0" w:evenVBand="0" w:oddHBand="0" w:evenHBand="0" w:firstRowFirstColumn="0" w:firstRowLastColumn="0" w:lastRowFirstColumn="0" w:lastRowLastColumn="0"/>
          <w:trHeight w:val="171"/>
        </w:trPr>
        <w:tc>
          <w:tcPr>
            <w:cnfStyle w:val="001000000000" w:firstRow="0" w:lastRow="0" w:firstColumn="1" w:lastColumn="0" w:oddVBand="0" w:evenVBand="0" w:oddHBand="0" w:evenHBand="0" w:firstRowFirstColumn="0" w:firstRowLastColumn="0" w:lastRowFirstColumn="0" w:lastRowLastColumn="0"/>
            <w:tcW w:w="366" w:type="pct"/>
            <w:vAlign w:val="top"/>
          </w:tcPr>
          <w:p w14:paraId="71211753" w14:textId="40305245" w:rsidR="00675CD5" w:rsidRPr="00A85762" w:rsidRDefault="00675CD5" w:rsidP="00675CD5">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1D88C8E2" w14:textId="25449BCC" w:rsidR="00675CD5" w:rsidRPr="00B43A8D"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238F5826" w14:textId="5419B6C0" w:rsidR="00675CD5" w:rsidRPr="00B56577"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E56B82" w:rsidRPr="00B56577" w14:paraId="1732DA61"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7C0763D" w14:textId="19FDD6B9" w:rsidR="00E56B82" w:rsidRPr="00A85762" w:rsidRDefault="00E56B82" w:rsidP="00E56B82">
            <w:pPr>
              <w:pStyle w:val="TableText-Left"/>
              <w:spacing w:line="276" w:lineRule="auto"/>
              <w:jc w:val="center"/>
              <w:rPr>
                <w:rFonts w:ascii="Lato" w:hAnsi="Lato"/>
              </w:rPr>
            </w:pPr>
            <w:r w:rsidRPr="00A85762">
              <w:rPr>
                <w:rFonts w:ascii="Lato" w:hAnsi="Lato"/>
                <w:color w:val="auto"/>
              </w:rPr>
              <w:t>Q22</w:t>
            </w:r>
          </w:p>
        </w:tc>
        <w:tc>
          <w:tcPr>
            <w:tcW w:w="3571" w:type="pct"/>
            <w:vAlign w:val="center"/>
          </w:tcPr>
          <w:p w14:paraId="6D84E49D" w14:textId="3A233699" w:rsidR="00E56B82" w:rsidRPr="00A85762" w:rsidRDefault="00E56B82" w:rsidP="00E56B8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 xml:space="preserve">Do you agree with our initial assessment </w:t>
            </w:r>
            <w:r w:rsidRPr="00FB6C2F">
              <w:rPr>
                <w:rFonts w:ascii="Lato" w:hAnsi="Lato"/>
              </w:rPr>
              <w:t xml:space="preserve">of the impact of </w:t>
            </w:r>
            <w:r w:rsidRPr="00A85762">
              <w:rPr>
                <w:rFonts w:ascii="Lato" w:hAnsi="Lato"/>
              </w:rPr>
              <w:t>charging option</w:t>
            </w:r>
            <w:r>
              <w:rPr>
                <w:rFonts w:ascii="Lato" w:hAnsi="Lato"/>
              </w:rPr>
              <w:t xml:space="preserve"> 3</w:t>
            </w:r>
            <w:r w:rsidRPr="00A85762">
              <w:rPr>
                <w:rFonts w:ascii="Lato" w:hAnsi="Lato"/>
              </w:rPr>
              <w:t xml:space="preserve">? </w:t>
            </w:r>
          </w:p>
        </w:tc>
        <w:tc>
          <w:tcPr>
            <w:tcW w:w="1063" w:type="pct"/>
            <w:vAlign w:val="center"/>
          </w:tcPr>
          <w:p w14:paraId="1E434ECD" w14:textId="34312BFF" w:rsidR="00E56B82" w:rsidRPr="00B56577" w:rsidRDefault="00E56B82" w:rsidP="00E56B8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F72EB1" w:rsidRPr="00B56577" w14:paraId="29DD53E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FBF0CE5" w14:textId="0E276330" w:rsidR="00F72EB1" w:rsidRPr="00A85762" w:rsidRDefault="00F72EB1" w:rsidP="00F72EB1">
            <w:pPr>
              <w:pStyle w:val="TableText-Left"/>
              <w:spacing w:line="276" w:lineRule="auto"/>
              <w:jc w:val="center"/>
              <w:rPr>
                <w:rFonts w:ascii="Lato" w:hAnsi="Lato"/>
                <w:color w:val="auto"/>
              </w:rPr>
            </w:pPr>
            <w:r w:rsidRPr="00A85762">
              <w:rPr>
                <w:rFonts w:ascii="Lato" w:hAnsi="Lato"/>
                <w:color w:val="auto"/>
              </w:rPr>
              <w:t>Q23</w:t>
            </w:r>
          </w:p>
        </w:tc>
        <w:tc>
          <w:tcPr>
            <w:tcW w:w="3571" w:type="pct"/>
            <w:vAlign w:val="center"/>
          </w:tcPr>
          <w:p w14:paraId="7F5E6BD4" w14:textId="0D877E17" w:rsidR="00F72EB1" w:rsidRPr="00B43A8D"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Are there any other impacts or design considerations that should be captured</w:t>
            </w:r>
            <w:r>
              <w:rPr>
                <w:rFonts w:ascii="Lato" w:hAnsi="Lato"/>
              </w:rPr>
              <w:t xml:space="preserve"> under charging option 3</w:t>
            </w:r>
            <w:r w:rsidRPr="00A85762">
              <w:rPr>
                <w:rFonts w:ascii="Lato" w:hAnsi="Lato"/>
              </w:rPr>
              <w:t>?</w:t>
            </w:r>
          </w:p>
        </w:tc>
        <w:tc>
          <w:tcPr>
            <w:tcW w:w="1063" w:type="pct"/>
            <w:vAlign w:val="center"/>
          </w:tcPr>
          <w:p w14:paraId="645B9E86" w14:textId="3B6D070E"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F72EB1" w:rsidRPr="00B56577" w14:paraId="24D81258"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B334419" w14:textId="222B569D" w:rsidR="00F72EB1" w:rsidRPr="00A85762" w:rsidRDefault="00F72EB1" w:rsidP="00F72EB1">
            <w:pPr>
              <w:pStyle w:val="TableText-Left"/>
              <w:spacing w:line="276" w:lineRule="auto"/>
              <w:jc w:val="center"/>
              <w:rPr>
                <w:rFonts w:ascii="Lato" w:hAnsi="Lato"/>
                <w:color w:val="auto"/>
              </w:rPr>
            </w:pPr>
            <w:r w:rsidRPr="00A85762">
              <w:rPr>
                <w:rFonts w:ascii="Lato" w:hAnsi="Lato"/>
                <w:color w:val="auto"/>
              </w:rPr>
              <w:t>Q24</w:t>
            </w:r>
          </w:p>
        </w:tc>
        <w:tc>
          <w:tcPr>
            <w:tcW w:w="3571" w:type="pct"/>
            <w:vAlign w:val="center"/>
          </w:tcPr>
          <w:p w14:paraId="18C82EA7" w14:textId="2C3C9003" w:rsidR="00F72EB1" w:rsidRPr="00B43A8D"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9616E1">
              <w:rPr>
                <w:rFonts w:ascii="Lato" w:hAnsi="Lato"/>
              </w:rPr>
              <w:t>Do you have any comments on the costs your organisation may incur in implementing charging option 3</w:t>
            </w:r>
            <w:r w:rsidRPr="00A85762">
              <w:rPr>
                <w:rFonts w:ascii="Lato" w:hAnsi="Lato"/>
              </w:rPr>
              <w:t xml:space="preserve">? </w:t>
            </w:r>
          </w:p>
        </w:tc>
        <w:tc>
          <w:tcPr>
            <w:tcW w:w="1063" w:type="pct"/>
            <w:vAlign w:val="center"/>
          </w:tcPr>
          <w:p w14:paraId="52B27FA7" w14:textId="0D82FF76"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bl>
    <w:p w14:paraId="035D93B0" w14:textId="77777777" w:rsidR="00D7442C" w:rsidRDefault="00D7442C"/>
    <w:p w14:paraId="1E95738E" w14:textId="1A2D2D1E" w:rsidR="00D7442C" w:rsidRPr="008678B6" w:rsidRDefault="008678B6" w:rsidP="008678B6">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4</w:t>
      </w:r>
    </w:p>
    <w:tbl>
      <w:tblPr>
        <w:tblStyle w:val="TableTemplate1"/>
        <w:tblW w:w="5000" w:type="pct"/>
        <w:tblLook w:val="04A0" w:firstRow="1" w:lastRow="0" w:firstColumn="1" w:lastColumn="0" w:noHBand="0" w:noVBand="1"/>
      </w:tblPr>
      <w:tblGrid>
        <w:gridCol w:w="1020"/>
        <w:gridCol w:w="9955"/>
        <w:gridCol w:w="2963"/>
      </w:tblGrid>
      <w:tr w:rsidR="00D7442C" w:rsidRPr="00B56577" w14:paraId="0237AD25" w14:textId="77777777" w:rsidTr="00D7442C">
        <w:trPr>
          <w:cnfStyle w:val="100000000000" w:firstRow="1" w:lastRow="0" w:firstColumn="0" w:lastColumn="0" w:oddVBand="0" w:evenVBand="0" w:oddHBand="0" w:evenHBand="0" w:firstRowFirstColumn="0" w:firstRowLastColumn="0" w:lastRowFirstColumn="0" w:lastRowLastColumn="0"/>
          <w:trHeight w:val="122"/>
        </w:trPr>
        <w:tc>
          <w:tcPr>
            <w:cnfStyle w:val="001000000000" w:firstRow="0" w:lastRow="0" w:firstColumn="1" w:lastColumn="0" w:oddVBand="0" w:evenVBand="0" w:oddHBand="0" w:evenHBand="0" w:firstRowFirstColumn="0" w:firstRowLastColumn="0" w:lastRowFirstColumn="0" w:lastRowLastColumn="0"/>
            <w:tcW w:w="366" w:type="pct"/>
            <w:vAlign w:val="top"/>
          </w:tcPr>
          <w:p w14:paraId="6D8C411C" w14:textId="16EEAB65" w:rsidR="00D7442C" w:rsidRPr="00CA1679" w:rsidRDefault="00D7442C" w:rsidP="00D7442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38AABD8B" w14:textId="5D320BCB" w:rsidR="00D7442C" w:rsidRPr="00A85762"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09364668" w14:textId="63FB5D3C" w:rsidR="00D7442C" w:rsidRPr="00B56577"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72EB1" w:rsidRPr="00B56577" w14:paraId="2E7FCD4F"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C806B98" w14:textId="0E2212E0" w:rsidR="00F72EB1" w:rsidRPr="00CA1679" w:rsidRDefault="00F72EB1" w:rsidP="00F72EB1">
            <w:pPr>
              <w:pStyle w:val="TableText-Left"/>
              <w:spacing w:line="276" w:lineRule="auto"/>
              <w:jc w:val="center"/>
              <w:rPr>
                <w:rFonts w:ascii="Lato" w:hAnsi="Lato"/>
              </w:rPr>
            </w:pPr>
            <w:r w:rsidRPr="00CA1679">
              <w:rPr>
                <w:rFonts w:ascii="Lato" w:hAnsi="Lato"/>
                <w:color w:val="auto"/>
              </w:rPr>
              <w:t>Q25</w:t>
            </w:r>
          </w:p>
        </w:tc>
        <w:tc>
          <w:tcPr>
            <w:tcW w:w="3571" w:type="pct"/>
            <w:vAlign w:val="center"/>
          </w:tcPr>
          <w:p w14:paraId="45AC9BB5" w14:textId="4C3ACF86" w:rsidR="00F72EB1" w:rsidRPr="00FB6C2F"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Do you agree with our initial assessment of the impact of charging option</w:t>
            </w:r>
            <w:r>
              <w:rPr>
                <w:rFonts w:ascii="Lato" w:hAnsi="Lato"/>
              </w:rPr>
              <w:t xml:space="preserve"> 4</w:t>
            </w:r>
            <w:r w:rsidRPr="00FB6C2F">
              <w:rPr>
                <w:rFonts w:ascii="Lato" w:hAnsi="Lato"/>
              </w:rPr>
              <w:t xml:space="preserve">? </w:t>
            </w:r>
          </w:p>
        </w:tc>
        <w:tc>
          <w:tcPr>
            <w:tcW w:w="1063" w:type="pct"/>
            <w:vAlign w:val="center"/>
          </w:tcPr>
          <w:p w14:paraId="09DE4167" w14:textId="2E9CD7BA"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F72EB1" w:rsidRPr="00B56577" w14:paraId="460C1862"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62651D4" w14:textId="02066718" w:rsidR="00F72EB1" w:rsidRPr="00CA1679" w:rsidRDefault="00F72EB1" w:rsidP="00F72EB1">
            <w:pPr>
              <w:pStyle w:val="TableText-Left"/>
              <w:spacing w:line="276" w:lineRule="auto"/>
              <w:jc w:val="center"/>
              <w:rPr>
                <w:rFonts w:ascii="Lato" w:hAnsi="Lato"/>
                <w:color w:val="auto"/>
              </w:rPr>
            </w:pPr>
            <w:r w:rsidRPr="00CA1679">
              <w:rPr>
                <w:rFonts w:ascii="Lato" w:hAnsi="Lato"/>
                <w:color w:val="auto"/>
              </w:rPr>
              <w:t>Q26</w:t>
            </w:r>
          </w:p>
        </w:tc>
        <w:tc>
          <w:tcPr>
            <w:tcW w:w="3571" w:type="pct"/>
            <w:vAlign w:val="center"/>
          </w:tcPr>
          <w:p w14:paraId="371E37D7" w14:textId="423D9669" w:rsidR="00F72EB1" w:rsidRPr="00A85762"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 xml:space="preserve">What type of costs do you think should be recovered through the standing charge? </w:t>
            </w:r>
          </w:p>
        </w:tc>
        <w:tc>
          <w:tcPr>
            <w:tcW w:w="1063" w:type="pct"/>
            <w:vAlign w:val="center"/>
          </w:tcPr>
          <w:p w14:paraId="1D50F678" w14:textId="2044AAE0"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F72EB1" w:rsidRPr="00B56577" w14:paraId="3E1A0AB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BC81BD5" w14:textId="689B095F" w:rsidR="00F72EB1" w:rsidRPr="00CA1679" w:rsidRDefault="00F72EB1" w:rsidP="00F72EB1">
            <w:pPr>
              <w:pStyle w:val="TableText-Left"/>
              <w:spacing w:line="276" w:lineRule="auto"/>
              <w:jc w:val="center"/>
              <w:rPr>
                <w:rFonts w:ascii="Lato" w:hAnsi="Lato"/>
                <w:color w:val="auto"/>
              </w:rPr>
            </w:pPr>
            <w:r w:rsidRPr="00CA1679">
              <w:rPr>
                <w:rFonts w:ascii="Lato" w:hAnsi="Lato"/>
                <w:color w:val="auto"/>
              </w:rPr>
              <w:t>Q27</w:t>
            </w:r>
          </w:p>
        </w:tc>
        <w:tc>
          <w:tcPr>
            <w:tcW w:w="3571" w:type="pct"/>
            <w:vAlign w:val="center"/>
          </w:tcPr>
          <w:p w14:paraId="16E07CFE" w14:textId="110E2670" w:rsidR="00F72EB1" w:rsidRPr="00A85762"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Are there any other impacts or design considerations that should be captured</w:t>
            </w:r>
            <w:r>
              <w:rPr>
                <w:rFonts w:ascii="Lato" w:hAnsi="Lato"/>
              </w:rPr>
              <w:t xml:space="preserve"> under charging option 4</w:t>
            </w:r>
            <w:r w:rsidRPr="00FB6C2F">
              <w:rPr>
                <w:rFonts w:ascii="Lato" w:hAnsi="Lato"/>
              </w:rPr>
              <w:t>?</w:t>
            </w:r>
          </w:p>
        </w:tc>
        <w:tc>
          <w:tcPr>
            <w:tcW w:w="1063" w:type="pct"/>
            <w:vAlign w:val="center"/>
          </w:tcPr>
          <w:p w14:paraId="3D27E21B" w14:textId="3AA73B04"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F72EB1" w:rsidRPr="00B56577" w14:paraId="186CC79A"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38E3934" w14:textId="54B73F7B" w:rsidR="00F72EB1" w:rsidRPr="00CA1679" w:rsidRDefault="00F72EB1" w:rsidP="00F72EB1">
            <w:pPr>
              <w:pStyle w:val="TableText-Left"/>
              <w:spacing w:line="276" w:lineRule="auto"/>
              <w:jc w:val="center"/>
              <w:rPr>
                <w:rFonts w:ascii="Lato" w:hAnsi="Lato"/>
                <w:color w:val="auto"/>
              </w:rPr>
            </w:pPr>
            <w:r w:rsidRPr="00CA1679">
              <w:rPr>
                <w:rFonts w:ascii="Lato" w:hAnsi="Lato"/>
                <w:color w:val="auto"/>
              </w:rPr>
              <w:t>Q28</w:t>
            </w:r>
          </w:p>
        </w:tc>
        <w:tc>
          <w:tcPr>
            <w:tcW w:w="3571" w:type="pct"/>
            <w:vAlign w:val="center"/>
          </w:tcPr>
          <w:p w14:paraId="72354C17" w14:textId="74166B17" w:rsidR="00F72EB1" w:rsidRPr="00A85762"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541E1">
              <w:rPr>
                <w:rFonts w:ascii="Lato" w:hAnsi="Lato"/>
              </w:rPr>
              <w:t xml:space="preserve">Do you have any comments on the costs your organisation may incur in implementing charging option </w:t>
            </w:r>
            <w:r>
              <w:rPr>
                <w:rFonts w:ascii="Lato" w:hAnsi="Lato"/>
              </w:rPr>
              <w:t>4</w:t>
            </w:r>
            <w:r w:rsidRPr="00FB6C2F">
              <w:rPr>
                <w:rFonts w:ascii="Lato" w:hAnsi="Lato"/>
              </w:rPr>
              <w:t>?</w:t>
            </w:r>
          </w:p>
        </w:tc>
        <w:tc>
          <w:tcPr>
            <w:tcW w:w="1063" w:type="pct"/>
            <w:vAlign w:val="center"/>
          </w:tcPr>
          <w:p w14:paraId="01B50426" w14:textId="784D98E1"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bl>
    <w:p w14:paraId="3EFA60D5" w14:textId="77777777" w:rsidR="006A6000" w:rsidRDefault="006A6000"/>
    <w:p w14:paraId="1BA86C05" w14:textId="77777777" w:rsidR="006A6000" w:rsidRPr="008678B6" w:rsidRDefault="006A6000" w:rsidP="006A600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5</w:t>
      </w:r>
    </w:p>
    <w:tbl>
      <w:tblPr>
        <w:tblStyle w:val="TableTemplate1"/>
        <w:tblW w:w="5000" w:type="pct"/>
        <w:tblLook w:val="04A0" w:firstRow="1" w:lastRow="0" w:firstColumn="1" w:lastColumn="0" w:noHBand="0" w:noVBand="1"/>
      </w:tblPr>
      <w:tblGrid>
        <w:gridCol w:w="1020"/>
        <w:gridCol w:w="9955"/>
        <w:gridCol w:w="2963"/>
      </w:tblGrid>
      <w:tr w:rsidR="00232D96" w:rsidRPr="00B56577" w14:paraId="481A4024" w14:textId="77777777" w:rsidTr="00232D96">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66" w:type="pct"/>
            <w:vAlign w:val="top"/>
          </w:tcPr>
          <w:p w14:paraId="13D80923" w14:textId="6B0CE96A" w:rsidR="00232D96" w:rsidRPr="007D7F88" w:rsidRDefault="00232D96" w:rsidP="00232D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61E34F51" w14:textId="2979ECF4" w:rsidR="00232D96" w:rsidRPr="00FB6C2F"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866BAD4" w14:textId="4584152C" w:rsidR="00232D96" w:rsidRPr="00B56577"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72EB1" w:rsidRPr="00B56577" w14:paraId="7017491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EA9F9EB" w14:textId="552446CF" w:rsidR="00F72EB1" w:rsidRDefault="00F72EB1" w:rsidP="00F72EB1">
            <w:pPr>
              <w:pStyle w:val="TableText-Left"/>
              <w:spacing w:line="276" w:lineRule="auto"/>
              <w:jc w:val="center"/>
              <w:rPr>
                <w:rFonts w:ascii="Lato" w:hAnsi="Lato"/>
              </w:rPr>
            </w:pPr>
            <w:r>
              <w:rPr>
                <w:rFonts w:ascii="Lato" w:hAnsi="Lato"/>
                <w:color w:val="auto"/>
              </w:rPr>
              <w:t>Q29</w:t>
            </w:r>
          </w:p>
        </w:tc>
        <w:tc>
          <w:tcPr>
            <w:tcW w:w="3571" w:type="pct"/>
            <w:vAlign w:val="center"/>
          </w:tcPr>
          <w:p w14:paraId="29E56159" w14:textId="6BBD4E03" w:rsidR="00F72EB1" w:rsidRPr="00377971"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77971">
              <w:rPr>
                <w:rFonts w:ascii="Lato" w:hAnsi="Lato"/>
              </w:rPr>
              <w:t>Do you agree with our initial assessment of the impact of charging option</w:t>
            </w:r>
            <w:r>
              <w:rPr>
                <w:rFonts w:ascii="Lato" w:hAnsi="Lato"/>
              </w:rPr>
              <w:t xml:space="preserve"> 5</w:t>
            </w:r>
            <w:r w:rsidRPr="00377971">
              <w:rPr>
                <w:rFonts w:ascii="Lato" w:hAnsi="Lato"/>
              </w:rPr>
              <w:t>?</w:t>
            </w:r>
          </w:p>
        </w:tc>
        <w:tc>
          <w:tcPr>
            <w:tcW w:w="1063" w:type="pct"/>
            <w:vAlign w:val="center"/>
          </w:tcPr>
          <w:p w14:paraId="5FD456EA" w14:textId="541C41F3"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F72EB1" w:rsidRPr="00B56577" w14:paraId="6C4A27D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A9B1C16" w14:textId="0A691506" w:rsidR="00F72EB1" w:rsidRPr="007D7F88" w:rsidRDefault="00F72EB1" w:rsidP="00F72EB1">
            <w:pPr>
              <w:pStyle w:val="TableText-Left"/>
              <w:spacing w:line="276" w:lineRule="auto"/>
              <w:jc w:val="center"/>
              <w:rPr>
                <w:rFonts w:ascii="Lato" w:hAnsi="Lato"/>
                <w:color w:val="auto"/>
              </w:rPr>
            </w:pPr>
            <w:r>
              <w:rPr>
                <w:rFonts w:ascii="Lato" w:hAnsi="Lato"/>
                <w:color w:val="auto"/>
              </w:rPr>
              <w:t>Q30</w:t>
            </w:r>
          </w:p>
        </w:tc>
        <w:tc>
          <w:tcPr>
            <w:tcW w:w="3571" w:type="pct"/>
            <w:vAlign w:val="center"/>
          </w:tcPr>
          <w:p w14:paraId="1B913284" w14:textId="2BEFA69C" w:rsidR="00F72EB1" w:rsidRPr="00FB6C2F"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Do you agree with our views on the granularity of variable charges? Are there any other characteristics that are important differentiate variable charges on?</w:t>
            </w:r>
          </w:p>
        </w:tc>
        <w:tc>
          <w:tcPr>
            <w:tcW w:w="1063" w:type="pct"/>
            <w:vAlign w:val="center"/>
          </w:tcPr>
          <w:p w14:paraId="2C4BA01C" w14:textId="4378A061"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F72EB1" w:rsidRPr="00B56577" w14:paraId="6CC531C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B0361C4" w14:textId="6063D729" w:rsidR="00F72EB1" w:rsidRPr="007D7F88" w:rsidRDefault="00F72EB1" w:rsidP="00F72EB1">
            <w:pPr>
              <w:pStyle w:val="TableText-Left"/>
              <w:spacing w:line="276" w:lineRule="auto"/>
              <w:jc w:val="center"/>
              <w:rPr>
                <w:rFonts w:ascii="Lato" w:hAnsi="Lato"/>
                <w:color w:val="auto"/>
              </w:rPr>
            </w:pPr>
            <w:r>
              <w:rPr>
                <w:rFonts w:ascii="Lato" w:hAnsi="Lato"/>
                <w:color w:val="auto"/>
              </w:rPr>
              <w:t>Q31</w:t>
            </w:r>
          </w:p>
        </w:tc>
        <w:tc>
          <w:tcPr>
            <w:tcW w:w="3571" w:type="pct"/>
            <w:vAlign w:val="center"/>
          </w:tcPr>
          <w:p w14:paraId="3BCA6FAC" w14:textId="23D78421" w:rsidR="00F72EB1" w:rsidRPr="00FB6C2F"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 xml:space="preserve">Do you agree with our proposed approach to calibrating variable charges? </w:t>
            </w:r>
          </w:p>
        </w:tc>
        <w:tc>
          <w:tcPr>
            <w:tcW w:w="1063" w:type="pct"/>
            <w:vAlign w:val="center"/>
          </w:tcPr>
          <w:p w14:paraId="602B00A9" w14:textId="6C062DE2"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F72EB1" w:rsidRPr="00B56577" w14:paraId="1CF0AD1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7851534" w14:textId="45795DD4" w:rsidR="00F72EB1" w:rsidRPr="007D7F88" w:rsidRDefault="00F72EB1" w:rsidP="00F72EB1">
            <w:pPr>
              <w:pStyle w:val="TableText-Left"/>
              <w:spacing w:line="276" w:lineRule="auto"/>
              <w:jc w:val="center"/>
              <w:rPr>
                <w:rFonts w:ascii="Lato" w:hAnsi="Lato"/>
                <w:color w:val="auto"/>
              </w:rPr>
            </w:pPr>
            <w:r>
              <w:rPr>
                <w:rFonts w:ascii="Lato" w:hAnsi="Lato"/>
                <w:color w:val="auto"/>
              </w:rPr>
              <w:t>Q32</w:t>
            </w:r>
          </w:p>
        </w:tc>
        <w:tc>
          <w:tcPr>
            <w:tcW w:w="3571" w:type="pct"/>
            <w:vAlign w:val="center"/>
          </w:tcPr>
          <w:p w14:paraId="278B5278" w14:textId="18E04B8B" w:rsidR="00F72EB1" w:rsidRPr="00FB6C2F"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Are there any other impacts or design considerations that should be captured</w:t>
            </w:r>
            <w:r>
              <w:rPr>
                <w:rFonts w:ascii="Lato" w:hAnsi="Lato"/>
              </w:rPr>
              <w:t xml:space="preserve"> under charging option 5</w:t>
            </w:r>
            <w:r w:rsidRPr="00423CFE">
              <w:rPr>
                <w:rFonts w:ascii="Lato" w:hAnsi="Lato"/>
              </w:rPr>
              <w:t>?</w:t>
            </w:r>
          </w:p>
        </w:tc>
        <w:tc>
          <w:tcPr>
            <w:tcW w:w="1063" w:type="pct"/>
            <w:vAlign w:val="center"/>
          </w:tcPr>
          <w:p w14:paraId="26E7929F" w14:textId="62BE01BD"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F72EB1" w:rsidRPr="00B56577" w14:paraId="49DB9C7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BB7F9BE" w14:textId="2B156AEE" w:rsidR="00F72EB1" w:rsidRPr="007D7F88" w:rsidRDefault="00F72EB1" w:rsidP="00F72EB1">
            <w:pPr>
              <w:pStyle w:val="TableText-Left"/>
              <w:spacing w:line="276" w:lineRule="auto"/>
              <w:jc w:val="center"/>
              <w:rPr>
                <w:rFonts w:ascii="Lato" w:hAnsi="Lato"/>
                <w:color w:val="auto"/>
              </w:rPr>
            </w:pPr>
            <w:r>
              <w:rPr>
                <w:rFonts w:ascii="Lato" w:hAnsi="Lato"/>
                <w:color w:val="auto"/>
              </w:rPr>
              <w:t>Q33</w:t>
            </w:r>
          </w:p>
        </w:tc>
        <w:tc>
          <w:tcPr>
            <w:tcW w:w="3571" w:type="pct"/>
            <w:vAlign w:val="center"/>
          </w:tcPr>
          <w:p w14:paraId="3BF4E336" w14:textId="58ABE653" w:rsidR="00F72EB1" w:rsidRPr="00FB6C2F"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7669E">
              <w:rPr>
                <w:rFonts w:ascii="Lato" w:hAnsi="Lato"/>
              </w:rPr>
              <w:t>Do you have any comments on the costs your organisation may incur in implementing charging option 5</w:t>
            </w:r>
            <w:r w:rsidRPr="00423CFE">
              <w:rPr>
                <w:rFonts w:ascii="Lato" w:hAnsi="Lato"/>
              </w:rPr>
              <w:t>?</w:t>
            </w:r>
          </w:p>
        </w:tc>
        <w:tc>
          <w:tcPr>
            <w:tcW w:w="1063" w:type="pct"/>
            <w:vAlign w:val="center"/>
          </w:tcPr>
          <w:p w14:paraId="3CBD6BC1" w14:textId="22BF62B7"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bl>
    <w:p w14:paraId="10371575" w14:textId="77777777" w:rsidR="001E030C" w:rsidRDefault="001E030C"/>
    <w:p w14:paraId="11C84733" w14:textId="565C311C" w:rsidR="006A6000" w:rsidRPr="008678B6" w:rsidRDefault="008F6064" w:rsidP="006A6000">
      <w:pPr>
        <w:pStyle w:val="Heading2"/>
        <w:spacing w:before="220" w:after="220"/>
        <w:ind w:left="709" w:hanging="709"/>
        <w:rPr>
          <w:rFonts w:ascii="Lato" w:eastAsiaTheme="minorHAnsi" w:hAnsi="Lato" w:cstheme="minorBidi"/>
          <w:bCs w:val="0"/>
          <w:iCs w:val="0"/>
          <w:color w:val="CA005D"/>
          <w:szCs w:val="22"/>
        </w:rPr>
      </w:pPr>
      <w:r w:rsidRPr="008F6064">
        <w:rPr>
          <w:rFonts w:ascii="Lato" w:eastAsiaTheme="minorHAnsi" w:hAnsi="Lato" w:cstheme="minorBidi"/>
          <w:bCs w:val="0"/>
          <w:iCs w:val="0"/>
          <w:color w:val="CA005D"/>
          <w:szCs w:val="22"/>
        </w:rPr>
        <w:t xml:space="preserve">Overarching questions (all </w:t>
      </w:r>
      <w:r>
        <w:rPr>
          <w:rFonts w:ascii="Lato" w:eastAsiaTheme="minorHAnsi" w:hAnsi="Lato" w:cstheme="minorBidi"/>
          <w:bCs w:val="0"/>
          <w:iCs w:val="0"/>
          <w:color w:val="CA005D"/>
          <w:szCs w:val="22"/>
        </w:rPr>
        <w:t xml:space="preserve">charging </w:t>
      </w:r>
      <w:r w:rsidRPr="008F6064">
        <w:rPr>
          <w:rFonts w:ascii="Lato" w:eastAsiaTheme="minorHAnsi" w:hAnsi="Lato" w:cstheme="minorBidi"/>
          <w:bCs w:val="0"/>
          <w:iCs w:val="0"/>
          <w:color w:val="CA005D"/>
          <w:szCs w:val="22"/>
        </w:rPr>
        <w:t>options)</w:t>
      </w:r>
    </w:p>
    <w:tbl>
      <w:tblPr>
        <w:tblStyle w:val="TableTemplate1"/>
        <w:tblW w:w="5000" w:type="pct"/>
        <w:tblLook w:val="04A0" w:firstRow="1" w:lastRow="0" w:firstColumn="1" w:lastColumn="0" w:noHBand="0" w:noVBand="1"/>
      </w:tblPr>
      <w:tblGrid>
        <w:gridCol w:w="1020"/>
        <w:gridCol w:w="9955"/>
        <w:gridCol w:w="2963"/>
      </w:tblGrid>
      <w:tr w:rsidR="001E030C" w:rsidRPr="00B56577" w14:paraId="6C3FD763" w14:textId="77777777" w:rsidTr="001E030C">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592B13DB" w14:textId="4034B657" w:rsidR="001E030C" w:rsidRPr="007D7F88" w:rsidRDefault="001E030C" w:rsidP="001E030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64A59FCF" w14:textId="67AAD316" w:rsidR="001E030C" w:rsidRPr="00FB6C2F"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0F0AD94" w14:textId="1F70DE11" w:rsidR="001E030C" w:rsidRPr="00B56577"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72EB1" w:rsidRPr="00B56577" w14:paraId="00A712C5"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5255DB6" w14:textId="03B6EE62" w:rsidR="00F72EB1" w:rsidRDefault="00F72EB1" w:rsidP="00F72EB1">
            <w:pPr>
              <w:pStyle w:val="TableText-Left"/>
              <w:spacing w:line="276" w:lineRule="auto"/>
              <w:jc w:val="center"/>
              <w:rPr>
                <w:rFonts w:ascii="Lato" w:hAnsi="Lato"/>
              </w:rPr>
            </w:pPr>
            <w:r>
              <w:rPr>
                <w:rFonts w:ascii="Lato" w:hAnsi="Lato"/>
                <w:color w:val="auto"/>
              </w:rPr>
              <w:t>Q34</w:t>
            </w:r>
          </w:p>
        </w:tc>
        <w:tc>
          <w:tcPr>
            <w:tcW w:w="3571" w:type="pct"/>
            <w:vAlign w:val="center"/>
          </w:tcPr>
          <w:p w14:paraId="4588E31D" w14:textId="1BE3D615" w:rsidR="00F72EB1" w:rsidRPr="00C22E7C"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Which charging model do you think is most viable? Please provide reasons for your response and include evidence to support this where possible.</w:t>
            </w:r>
          </w:p>
        </w:tc>
        <w:tc>
          <w:tcPr>
            <w:tcW w:w="1063" w:type="pct"/>
            <w:vAlign w:val="center"/>
          </w:tcPr>
          <w:p w14:paraId="2F7D9AC4" w14:textId="473334EE"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F72EB1" w:rsidRPr="00B56577" w14:paraId="07C78842"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E207BB5" w14:textId="6489B1A3" w:rsidR="00F72EB1" w:rsidRPr="007D7F88" w:rsidRDefault="00F72EB1" w:rsidP="00F72EB1">
            <w:pPr>
              <w:pStyle w:val="TableText-Left"/>
              <w:spacing w:line="276" w:lineRule="auto"/>
              <w:jc w:val="center"/>
              <w:rPr>
                <w:rFonts w:ascii="Lato" w:hAnsi="Lato"/>
                <w:color w:val="auto"/>
              </w:rPr>
            </w:pPr>
            <w:r>
              <w:rPr>
                <w:rFonts w:ascii="Lato" w:hAnsi="Lato"/>
                <w:color w:val="auto"/>
              </w:rPr>
              <w:t>Q35</w:t>
            </w:r>
          </w:p>
        </w:tc>
        <w:tc>
          <w:tcPr>
            <w:tcW w:w="3571" w:type="pct"/>
            <w:vAlign w:val="center"/>
          </w:tcPr>
          <w:p w14:paraId="4F36B388" w14:textId="197B3A95" w:rsidR="00F72EB1" w:rsidRPr="00FB6C2F"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Are there any other charging models that you think should be considered?</w:t>
            </w:r>
          </w:p>
        </w:tc>
        <w:tc>
          <w:tcPr>
            <w:tcW w:w="1063" w:type="pct"/>
            <w:vAlign w:val="center"/>
          </w:tcPr>
          <w:p w14:paraId="00924E03" w14:textId="2F24C371"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F72EB1" w:rsidRPr="00B56577" w14:paraId="191C56E9"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804A599" w14:textId="24FFAD63" w:rsidR="00F72EB1" w:rsidRPr="007D7F88" w:rsidRDefault="00F72EB1" w:rsidP="00F72EB1">
            <w:pPr>
              <w:pStyle w:val="TableText-Left"/>
              <w:spacing w:line="276" w:lineRule="auto"/>
              <w:jc w:val="center"/>
              <w:rPr>
                <w:rFonts w:ascii="Lato" w:hAnsi="Lato"/>
                <w:color w:val="auto"/>
              </w:rPr>
            </w:pPr>
            <w:r>
              <w:rPr>
                <w:rFonts w:ascii="Lato" w:hAnsi="Lato"/>
                <w:color w:val="auto"/>
              </w:rPr>
              <w:t>Q36</w:t>
            </w:r>
          </w:p>
        </w:tc>
        <w:tc>
          <w:tcPr>
            <w:tcW w:w="3571" w:type="pct"/>
            <w:vAlign w:val="center"/>
          </w:tcPr>
          <w:p w14:paraId="0551A1A6" w14:textId="2783364E" w:rsidR="00F72EB1" w:rsidRPr="00FB6C2F"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In your view, how does uncertainty about future demand affect the attractiveness of the proposed charging models?</w:t>
            </w:r>
          </w:p>
        </w:tc>
        <w:tc>
          <w:tcPr>
            <w:tcW w:w="1063" w:type="pct"/>
            <w:vAlign w:val="center"/>
          </w:tcPr>
          <w:p w14:paraId="27B30039" w14:textId="05D81BC1" w:rsidR="00F72EB1" w:rsidRPr="00B56577"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Q15</w:t>
            </w:r>
          </w:p>
        </w:tc>
      </w:tr>
      <w:tr w:rsidR="00F72EB1" w:rsidRPr="00B56577" w14:paraId="56341F55"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FF52F27" w14:textId="1E90C122" w:rsidR="00F72EB1" w:rsidRPr="007D7F88" w:rsidRDefault="00F72EB1" w:rsidP="00F72EB1">
            <w:pPr>
              <w:pStyle w:val="TableText-Left"/>
              <w:spacing w:line="276" w:lineRule="auto"/>
              <w:jc w:val="center"/>
              <w:rPr>
                <w:rFonts w:ascii="Lato" w:hAnsi="Lato"/>
                <w:color w:val="auto"/>
              </w:rPr>
            </w:pPr>
            <w:r>
              <w:rPr>
                <w:rFonts w:ascii="Lato" w:hAnsi="Lato"/>
                <w:color w:val="auto"/>
              </w:rPr>
              <w:t>Q37</w:t>
            </w:r>
          </w:p>
        </w:tc>
        <w:tc>
          <w:tcPr>
            <w:tcW w:w="3571" w:type="pct"/>
            <w:vAlign w:val="center"/>
          </w:tcPr>
          <w:p w14:paraId="5C1EC515" w14:textId="6FC70F72" w:rsidR="00F72EB1" w:rsidRPr="00FB6C2F" w:rsidRDefault="00F72EB1"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 xml:space="preserve">Do you have any comments on the timing for reform implementation? </w:t>
            </w:r>
          </w:p>
        </w:tc>
        <w:tc>
          <w:tcPr>
            <w:tcW w:w="1063" w:type="pct"/>
            <w:vAlign w:val="center"/>
          </w:tcPr>
          <w:p w14:paraId="237B8F45" w14:textId="6BCDB174" w:rsidR="00F72EB1" w:rsidRPr="00B56577" w:rsidRDefault="005A5CAA" w:rsidP="00F72EB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current charging regime is inequitable and should be replaced as soon as possible. </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681D59">
      <w:headerReference w:type="default" r:id="rId14"/>
      <w:footerReference w:type="default" r:id="rId15"/>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BB97E" w14:textId="77777777" w:rsidR="00170A94" w:rsidRDefault="00170A94" w:rsidP="00FA568E">
      <w:pPr>
        <w:spacing w:after="0"/>
      </w:pPr>
      <w:r>
        <w:separator/>
      </w:r>
    </w:p>
  </w:endnote>
  <w:endnote w:type="continuationSeparator" w:id="0">
    <w:p w14:paraId="117DC7FE" w14:textId="77777777" w:rsidR="00170A94" w:rsidRDefault="00170A94" w:rsidP="00FA568E">
      <w:pPr>
        <w:spacing w:after="0"/>
      </w:pPr>
      <w:r>
        <w:continuationSeparator/>
      </w:r>
    </w:p>
  </w:endnote>
  <w:endnote w:type="continuationNotice" w:id="1">
    <w:p w14:paraId="1521D9F8" w14:textId="77777777" w:rsidR="00170A94" w:rsidRDefault="00170A9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panose1 w:val="020F0502020204030203"/>
    <w:charset w:val="00"/>
    <w:family w:val="swiss"/>
    <w:pitch w:val="variable"/>
    <w:sig w:usb0="E10002FF" w:usb1="5000ECFF" w:usb2="00000029"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6FFFA15E" w14:textId="77777777" w:rsidR="002E637C" w:rsidRDefault="005F7F6C" w:rsidP="00F37854">
          <w:pPr>
            <w:pStyle w:val="Footer"/>
            <w:rPr>
              <w:sz w:val="20"/>
              <w:szCs w:val="20"/>
            </w:rPr>
          </w:pPr>
          <w:r>
            <w:rPr>
              <w:noProof/>
              <w:sz w:val="20"/>
              <w:szCs w:val="20"/>
            </w:rPr>
            <mc:AlternateContent>
              <mc:Choice Requires="wps">
                <w:drawing>
                  <wp:anchor distT="0" distB="0" distL="114300" distR="114300" simplePos="0" relativeHeight="251658240"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A40466" id="_x0000_t202" coordsize="21600,21600" o:spt="202" path="m,l,21600r21600,l21600,xe">
                    <v:stroke joinstyle="miter"/>
                    <v:path gradientshapeok="t" o:connecttype="rect"/>
                  </v:shapetype>
                  <v:shape id="MSIPCM7d6245f08f0e738f83707a39" o:spid="_x0000_s1026" type="#_x0000_t202" alt="{&quot;HashCode&quot;:2052356286,&quot;Height&quot;:595.0,&quot;Width&quot;:841.0,&quot;Placement&quot;:&quot;Footer&quot;,&quot;Index&quot;:&quot;Primary&quot;,&quot;Section&quot;:1,&quot;Top&quot;:0.0,&quot;Left&quot;:0.0}" style="position:absolute;margin-left:0;margin-top:558.75pt;width:841.9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DA6039">
            <w:rPr>
              <w:noProof/>
              <w:sz w:val="20"/>
              <w:szCs w:val="20"/>
            </w:rPr>
            <w:t>DP218 Request fo</w:t>
          </w:r>
          <w:r w:rsidR="008D67C5">
            <w:rPr>
              <w:noProof/>
              <w:sz w:val="20"/>
              <w:szCs w:val="20"/>
            </w:rPr>
            <w:t>r</w:t>
          </w:r>
          <w:r w:rsidR="00DA6039">
            <w:rPr>
              <w:noProof/>
              <w:sz w:val="20"/>
              <w:szCs w:val="20"/>
            </w:rPr>
            <w:t xml:space="preserve"> Information</w:t>
          </w:r>
          <w:r w:rsidR="004D59CB">
            <w:rPr>
              <w:sz w:val="20"/>
              <w:szCs w:val="20"/>
            </w:rPr>
            <w:t xml:space="preserve"> </w:t>
          </w:r>
        </w:p>
        <w:p w14:paraId="2DEE08F5" w14:textId="4C79996C" w:rsidR="00E34ABA" w:rsidRDefault="004D59CB" w:rsidP="00F37854">
          <w:pPr>
            <w:pStyle w:val="Footer"/>
            <w:rPr>
              <w:sz w:val="20"/>
              <w:szCs w:val="20"/>
            </w:rPr>
          </w:pPr>
          <w:r>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286D9" w14:textId="77777777" w:rsidR="00170A94" w:rsidRDefault="00170A94" w:rsidP="00FA568E">
      <w:pPr>
        <w:spacing w:after="0"/>
      </w:pPr>
      <w:r>
        <w:separator/>
      </w:r>
    </w:p>
  </w:footnote>
  <w:footnote w:type="continuationSeparator" w:id="0">
    <w:p w14:paraId="3F148250" w14:textId="77777777" w:rsidR="00170A94" w:rsidRDefault="00170A94" w:rsidP="00FA568E">
      <w:pPr>
        <w:spacing w:after="0"/>
      </w:pPr>
      <w:r>
        <w:continuationSeparator/>
      </w:r>
    </w:p>
  </w:footnote>
  <w:footnote w:type="continuationNotice" w:id="1">
    <w:p w14:paraId="4A5B331E" w14:textId="77777777" w:rsidR="00170A94" w:rsidRDefault="00170A9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82D1" w14:textId="7CEA6EDC"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DA6039" w:rsidRPr="00DA6039">
      <w:rPr>
        <w:rFonts w:ascii="Lato" w:hAnsi="Lato"/>
      </w:rPr>
      <w:t>DP218 ‘Review of the SEC Charging Methodology’</w:t>
    </w:r>
    <w:r w:rsidR="00DA6039">
      <w:rPr>
        <w:rFonts w:ascii="Lato" w:hAnsi="Lato"/>
      </w:rPr>
      <w:t xml:space="preserve"> </w:t>
    </w:r>
    <w:r w:rsidR="009A718D">
      <w:rPr>
        <w:rFonts w:ascii="Lato" w:hAnsi="Lato"/>
      </w:rPr>
      <w:t>RFI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0"/>
  </w:num>
  <w:num w:numId="4" w16cid:durableId="1223830764">
    <w:abstractNumId w:val="26"/>
  </w:num>
  <w:num w:numId="5" w16cid:durableId="645664939">
    <w:abstractNumId w:val="28"/>
  </w:num>
  <w:num w:numId="6" w16cid:durableId="546650569">
    <w:abstractNumId w:val="14"/>
  </w:num>
  <w:num w:numId="7" w16cid:durableId="1813059216">
    <w:abstractNumId w:val="7"/>
  </w:num>
  <w:num w:numId="8" w16cid:durableId="2033220966">
    <w:abstractNumId w:val="10"/>
  </w:num>
  <w:num w:numId="9" w16cid:durableId="1914702141">
    <w:abstractNumId w:val="4"/>
  </w:num>
  <w:num w:numId="10" w16cid:durableId="1376851018">
    <w:abstractNumId w:val="12"/>
  </w:num>
  <w:num w:numId="11" w16cid:durableId="1449617638">
    <w:abstractNumId w:val="15"/>
  </w:num>
  <w:num w:numId="12" w16cid:durableId="956641396">
    <w:abstractNumId w:val="19"/>
  </w:num>
  <w:num w:numId="13" w16cid:durableId="348720779">
    <w:abstractNumId w:val="30"/>
  </w:num>
  <w:num w:numId="14" w16cid:durableId="1872722695">
    <w:abstractNumId w:val="1"/>
  </w:num>
  <w:num w:numId="15" w16cid:durableId="1163738551">
    <w:abstractNumId w:val="25"/>
  </w:num>
  <w:num w:numId="16" w16cid:durableId="839321112">
    <w:abstractNumId w:val="22"/>
  </w:num>
  <w:num w:numId="17" w16cid:durableId="1133864700">
    <w:abstractNumId w:val="24"/>
  </w:num>
  <w:num w:numId="18" w16cid:durableId="75637264">
    <w:abstractNumId w:val="11"/>
  </w:num>
  <w:num w:numId="19" w16cid:durableId="1566067005">
    <w:abstractNumId w:val="8"/>
  </w:num>
  <w:num w:numId="20" w16cid:durableId="1428306469">
    <w:abstractNumId w:val="3"/>
  </w:num>
  <w:num w:numId="21" w16cid:durableId="1219786140">
    <w:abstractNumId w:val="13"/>
  </w:num>
  <w:num w:numId="22" w16cid:durableId="553472640">
    <w:abstractNumId w:val="21"/>
  </w:num>
  <w:num w:numId="23" w16cid:durableId="1596669570">
    <w:abstractNumId w:val="20"/>
  </w:num>
  <w:num w:numId="24" w16cid:durableId="1352756592">
    <w:abstractNumId w:val="23"/>
  </w:num>
  <w:num w:numId="25" w16cid:durableId="817653496">
    <w:abstractNumId w:val="27"/>
  </w:num>
  <w:num w:numId="26" w16cid:durableId="223613233">
    <w:abstractNumId w:val="29"/>
  </w:num>
  <w:num w:numId="27" w16cid:durableId="1466005572">
    <w:abstractNumId w:val="9"/>
  </w:num>
  <w:num w:numId="28" w16cid:durableId="505218430">
    <w:abstractNumId w:val="16"/>
  </w:num>
  <w:num w:numId="29" w16cid:durableId="269512693">
    <w:abstractNumId w:val="17"/>
  </w:num>
  <w:num w:numId="30" w16cid:durableId="199167186">
    <w:abstractNumId w:val="6"/>
  </w:num>
  <w:num w:numId="31" w16cid:durableId="1876573710">
    <w:abstractNumId w:val="32"/>
  </w:num>
  <w:num w:numId="32" w16cid:durableId="688145661">
    <w:abstractNumId w:val="5"/>
  </w:num>
  <w:num w:numId="33" w16cid:durableId="1035077202">
    <w:abstractNumId w:val="18"/>
  </w:num>
  <w:num w:numId="34" w16cid:durableId="513805101">
    <w:abstractNumId w:val="31"/>
  </w:num>
  <w:num w:numId="35" w16cid:durableId="833491217">
    <w:abstractNumId w:val="30"/>
  </w:num>
  <w:num w:numId="36" w16cid:durableId="1313607884">
    <w:abstractNumId w:val="30"/>
  </w:num>
  <w:num w:numId="37" w16cid:durableId="1092973961">
    <w:abstractNumId w:val="30"/>
  </w:num>
  <w:num w:numId="38" w16cid:durableId="188987181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23D7"/>
    <w:rsid w:val="00002807"/>
    <w:rsid w:val="00002C07"/>
    <w:rsid w:val="00002E38"/>
    <w:rsid w:val="0000483A"/>
    <w:rsid w:val="00006D48"/>
    <w:rsid w:val="00007922"/>
    <w:rsid w:val="0001108C"/>
    <w:rsid w:val="00012015"/>
    <w:rsid w:val="00012C37"/>
    <w:rsid w:val="00013681"/>
    <w:rsid w:val="00013DE1"/>
    <w:rsid w:val="00014DF0"/>
    <w:rsid w:val="00014E0C"/>
    <w:rsid w:val="000158D8"/>
    <w:rsid w:val="0001596C"/>
    <w:rsid w:val="00015E6D"/>
    <w:rsid w:val="0001601B"/>
    <w:rsid w:val="00016A1E"/>
    <w:rsid w:val="00016D9F"/>
    <w:rsid w:val="00017238"/>
    <w:rsid w:val="000176CF"/>
    <w:rsid w:val="00017801"/>
    <w:rsid w:val="00022890"/>
    <w:rsid w:val="00022B36"/>
    <w:rsid w:val="00022DCC"/>
    <w:rsid w:val="000248BC"/>
    <w:rsid w:val="00027010"/>
    <w:rsid w:val="00030033"/>
    <w:rsid w:val="00030450"/>
    <w:rsid w:val="00030A76"/>
    <w:rsid w:val="00032845"/>
    <w:rsid w:val="00032C08"/>
    <w:rsid w:val="00033289"/>
    <w:rsid w:val="00033945"/>
    <w:rsid w:val="0003463F"/>
    <w:rsid w:val="00034FB8"/>
    <w:rsid w:val="000369DB"/>
    <w:rsid w:val="00040582"/>
    <w:rsid w:val="00040EC8"/>
    <w:rsid w:val="00041C64"/>
    <w:rsid w:val="000431FA"/>
    <w:rsid w:val="00043637"/>
    <w:rsid w:val="00044E8C"/>
    <w:rsid w:val="000530A4"/>
    <w:rsid w:val="00055BB5"/>
    <w:rsid w:val="00056367"/>
    <w:rsid w:val="00056889"/>
    <w:rsid w:val="000574A0"/>
    <w:rsid w:val="00062D5C"/>
    <w:rsid w:val="0006438D"/>
    <w:rsid w:val="00064C0A"/>
    <w:rsid w:val="00065B5E"/>
    <w:rsid w:val="00067235"/>
    <w:rsid w:val="00070535"/>
    <w:rsid w:val="00071310"/>
    <w:rsid w:val="00073134"/>
    <w:rsid w:val="000751CC"/>
    <w:rsid w:val="00075421"/>
    <w:rsid w:val="00075A86"/>
    <w:rsid w:val="00076EAA"/>
    <w:rsid w:val="0007792A"/>
    <w:rsid w:val="00080C91"/>
    <w:rsid w:val="00081342"/>
    <w:rsid w:val="00081C13"/>
    <w:rsid w:val="00083678"/>
    <w:rsid w:val="000839AF"/>
    <w:rsid w:val="0008441D"/>
    <w:rsid w:val="0008449B"/>
    <w:rsid w:val="00084E94"/>
    <w:rsid w:val="00085F5C"/>
    <w:rsid w:val="00085FD4"/>
    <w:rsid w:val="00086265"/>
    <w:rsid w:val="0008633B"/>
    <w:rsid w:val="00086E5E"/>
    <w:rsid w:val="00087774"/>
    <w:rsid w:val="0009022A"/>
    <w:rsid w:val="00091627"/>
    <w:rsid w:val="00091D2C"/>
    <w:rsid w:val="0009212E"/>
    <w:rsid w:val="0009270E"/>
    <w:rsid w:val="0009300F"/>
    <w:rsid w:val="00093C31"/>
    <w:rsid w:val="000951B8"/>
    <w:rsid w:val="00095EE8"/>
    <w:rsid w:val="00095F55"/>
    <w:rsid w:val="000A0435"/>
    <w:rsid w:val="000A1380"/>
    <w:rsid w:val="000A2D84"/>
    <w:rsid w:val="000A57AC"/>
    <w:rsid w:val="000A6A94"/>
    <w:rsid w:val="000A6D73"/>
    <w:rsid w:val="000A79E0"/>
    <w:rsid w:val="000A7B16"/>
    <w:rsid w:val="000B0ACA"/>
    <w:rsid w:val="000B14C8"/>
    <w:rsid w:val="000B18D4"/>
    <w:rsid w:val="000B3357"/>
    <w:rsid w:val="000B3416"/>
    <w:rsid w:val="000B53DC"/>
    <w:rsid w:val="000B6321"/>
    <w:rsid w:val="000B6863"/>
    <w:rsid w:val="000B73BA"/>
    <w:rsid w:val="000B745F"/>
    <w:rsid w:val="000B781F"/>
    <w:rsid w:val="000B789F"/>
    <w:rsid w:val="000C1750"/>
    <w:rsid w:val="000C2BB8"/>
    <w:rsid w:val="000C41CB"/>
    <w:rsid w:val="000C5485"/>
    <w:rsid w:val="000C682B"/>
    <w:rsid w:val="000D1C40"/>
    <w:rsid w:val="000D3331"/>
    <w:rsid w:val="000D3469"/>
    <w:rsid w:val="000D4374"/>
    <w:rsid w:val="000D46DC"/>
    <w:rsid w:val="000D532A"/>
    <w:rsid w:val="000D626B"/>
    <w:rsid w:val="000D7209"/>
    <w:rsid w:val="000D7ACA"/>
    <w:rsid w:val="000E100A"/>
    <w:rsid w:val="000E190B"/>
    <w:rsid w:val="000E708D"/>
    <w:rsid w:val="000E74AC"/>
    <w:rsid w:val="000F143A"/>
    <w:rsid w:val="000F3B59"/>
    <w:rsid w:val="000F4734"/>
    <w:rsid w:val="000F49A2"/>
    <w:rsid w:val="000F57C6"/>
    <w:rsid w:val="000F5A08"/>
    <w:rsid w:val="000F62BD"/>
    <w:rsid w:val="000F78B1"/>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1D4B"/>
    <w:rsid w:val="0013209F"/>
    <w:rsid w:val="001344EA"/>
    <w:rsid w:val="00135DCD"/>
    <w:rsid w:val="00136466"/>
    <w:rsid w:val="00136F19"/>
    <w:rsid w:val="0014073F"/>
    <w:rsid w:val="0014143E"/>
    <w:rsid w:val="001419F7"/>
    <w:rsid w:val="00142B72"/>
    <w:rsid w:val="00143234"/>
    <w:rsid w:val="001444F7"/>
    <w:rsid w:val="00144E0E"/>
    <w:rsid w:val="00147826"/>
    <w:rsid w:val="001523C6"/>
    <w:rsid w:val="00152599"/>
    <w:rsid w:val="001540FD"/>
    <w:rsid w:val="00155248"/>
    <w:rsid w:val="001567AC"/>
    <w:rsid w:val="00156F7C"/>
    <w:rsid w:val="00157576"/>
    <w:rsid w:val="00157E13"/>
    <w:rsid w:val="00157EAD"/>
    <w:rsid w:val="001604E1"/>
    <w:rsid w:val="00160E14"/>
    <w:rsid w:val="00161429"/>
    <w:rsid w:val="001615DF"/>
    <w:rsid w:val="00162EEB"/>
    <w:rsid w:val="001630B3"/>
    <w:rsid w:val="00165546"/>
    <w:rsid w:val="00167C5F"/>
    <w:rsid w:val="00170A94"/>
    <w:rsid w:val="00171256"/>
    <w:rsid w:val="00173189"/>
    <w:rsid w:val="001768E6"/>
    <w:rsid w:val="001805D9"/>
    <w:rsid w:val="00180C58"/>
    <w:rsid w:val="00182E10"/>
    <w:rsid w:val="00183D12"/>
    <w:rsid w:val="001848AA"/>
    <w:rsid w:val="001856F4"/>
    <w:rsid w:val="00185D64"/>
    <w:rsid w:val="00186C94"/>
    <w:rsid w:val="00187E49"/>
    <w:rsid w:val="001900A6"/>
    <w:rsid w:val="00190B2B"/>
    <w:rsid w:val="00190F1D"/>
    <w:rsid w:val="00190F37"/>
    <w:rsid w:val="00192336"/>
    <w:rsid w:val="0019239E"/>
    <w:rsid w:val="00193954"/>
    <w:rsid w:val="001939A2"/>
    <w:rsid w:val="001942F0"/>
    <w:rsid w:val="00194422"/>
    <w:rsid w:val="00195A5F"/>
    <w:rsid w:val="0019673C"/>
    <w:rsid w:val="001967E3"/>
    <w:rsid w:val="001968D1"/>
    <w:rsid w:val="0019692C"/>
    <w:rsid w:val="00197DCA"/>
    <w:rsid w:val="00197FB7"/>
    <w:rsid w:val="001A0DF8"/>
    <w:rsid w:val="001A25F1"/>
    <w:rsid w:val="001A2DCA"/>
    <w:rsid w:val="001A3937"/>
    <w:rsid w:val="001A409B"/>
    <w:rsid w:val="001A60C3"/>
    <w:rsid w:val="001A657A"/>
    <w:rsid w:val="001A66A7"/>
    <w:rsid w:val="001A6D5B"/>
    <w:rsid w:val="001A7700"/>
    <w:rsid w:val="001B0F68"/>
    <w:rsid w:val="001B0FC8"/>
    <w:rsid w:val="001B19F6"/>
    <w:rsid w:val="001B1AC0"/>
    <w:rsid w:val="001B2AE7"/>
    <w:rsid w:val="001B2FAE"/>
    <w:rsid w:val="001B5CEE"/>
    <w:rsid w:val="001B6690"/>
    <w:rsid w:val="001B7475"/>
    <w:rsid w:val="001C04D9"/>
    <w:rsid w:val="001C1CFC"/>
    <w:rsid w:val="001C5EC6"/>
    <w:rsid w:val="001C60B0"/>
    <w:rsid w:val="001C7EE9"/>
    <w:rsid w:val="001D07D5"/>
    <w:rsid w:val="001D0D14"/>
    <w:rsid w:val="001D1ED0"/>
    <w:rsid w:val="001D2C7B"/>
    <w:rsid w:val="001D2CE2"/>
    <w:rsid w:val="001D3983"/>
    <w:rsid w:val="001D3CF1"/>
    <w:rsid w:val="001D73B9"/>
    <w:rsid w:val="001D751F"/>
    <w:rsid w:val="001D7C3C"/>
    <w:rsid w:val="001D7F66"/>
    <w:rsid w:val="001E01C1"/>
    <w:rsid w:val="001E0209"/>
    <w:rsid w:val="001E024D"/>
    <w:rsid w:val="001E030C"/>
    <w:rsid w:val="001E312B"/>
    <w:rsid w:val="001E4559"/>
    <w:rsid w:val="001E4FBF"/>
    <w:rsid w:val="001E5E83"/>
    <w:rsid w:val="001E68DA"/>
    <w:rsid w:val="001E777F"/>
    <w:rsid w:val="001E7784"/>
    <w:rsid w:val="001E7F84"/>
    <w:rsid w:val="001F05D0"/>
    <w:rsid w:val="001F08BD"/>
    <w:rsid w:val="001F118F"/>
    <w:rsid w:val="001F4AAC"/>
    <w:rsid w:val="001F4BFF"/>
    <w:rsid w:val="001F56B1"/>
    <w:rsid w:val="001F599B"/>
    <w:rsid w:val="001F5CE8"/>
    <w:rsid w:val="001F5F4E"/>
    <w:rsid w:val="001F7A53"/>
    <w:rsid w:val="002010E0"/>
    <w:rsid w:val="00201361"/>
    <w:rsid w:val="00201C82"/>
    <w:rsid w:val="00201D17"/>
    <w:rsid w:val="00201EB8"/>
    <w:rsid w:val="002023F9"/>
    <w:rsid w:val="00203441"/>
    <w:rsid w:val="00203930"/>
    <w:rsid w:val="00205040"/>
    <w:rsid w:val="00205FDB"/>
    <w:rsid w:val="002078B2"/>
    <w:rsid w:val="002119F1"/>
    <w:rsid w:val="00211CE7"/>
    <w:rsid w:val="0021216F"/>
    <w:rsid w:val="00213626"/>
    <w:rsid w:val="00213EEE"/>
    <w:rsid w:val="002145A5"/>
    <w:rsid w:val="002156BF"/>
    <w:rsid w:val="002158D6"/>
    <w:rsid w:val="00215DEA"/>
    <w:rsid w:val="00215FC3"/>
    <w:rsid w:val="0021692D"/>
    <w:rsid w:val="00216FD1"/>
    <w:rsid w:val="00217F24"/>
    <w:rsid w:val="002211C6"/>
    <w:rsid w:val="002212D2"/>
    <w:rsid w:val="002225AE"/>
    <w:rsid w:val="00222909"/>
    <w:rsid w:val="00222C88"/>
    <w:rsid w:val="0022370A"/>
    <w:rsid w:val="00223C5F"/>
    <w:rsid w:val="00227287"/>
    <w:rsid w:val="0023250C"/>
    <w:rsid w:val="00232D96"/>
    <w:rsid w:val="00233DEA"/>
    <w:rsid w:val="002343C7"/>
    <w:rsid w:val="002347C4"/>
    <w:rsid w:val="00235529"/>
    <w:rsid w:val="0023572D"/>
    <w:rsid w:val="00236170"/>
    <w:rsid w:val="002376DB"/>
    <w:rsid w:val="002419EA"/>
    <w:rsid w:val="00241F18"/>
    <w:rsid w:val="002440A6"/>
    <w:rsid w:val="00244A79"/>
    <w:rsid w:val="002451CE"/>
    <w:rsid w:val="00247041"/>
    <w:rsid w:val="00247083"/>
    <w:rsid w:val="00247D93"/>
    <w:rsid w:val="0025074F"/>
    <w:rsid w:val="00250E8E"/>
    <w:rsid w:val="0025157B"/>
    <w:rsid w:val="00251828"/>
    <w:rsid w:val="00252287"/>
    <w:rsid w:val="002542C4"/>
    <w:rsid w:val="00254D59"/>
    <w:rsid w:val="00255803"/>
    <w:rsid w:val="00261F20"/>
    <w:rsid w:val="0026279D"/>
    <w:rsid w:val="00263FFF"/>
    <w:rsid w:val="00265A1F"/>
    <w:rsid w:val="00265ADF"/>
    <w:rsid w:val="002664BB"/>
    <w:rsid w:val="00266E86"/>
    <w:rsid w:val="00267345"/>
    <w:rsid w:val="0027118E"/>
    <w:rsid w:val="00272181"/>
    <w:rsid w:val="0027246A"/>
    <w:rsid w:val="002729BB"/>
    <w:rsid w:val="002731EC"/>
    <w:rsid w:val="00273E61"/>
    <w:rsid w:val="00273FBE"/>
    <w:rsid w:val="002740BB"/>
    <w:rsid w:val="00275434"/>
    <w:rsid w:val="002756DC"/>
    <w:rsid w:val="00275906"/>
    <w:rsid w:val="00276C39"/>
    <w:rsid w:val="00281673"/>
    <w:rsid w:val="002824C6"/>
    <w:rsid w:val="00282A5F"/>
    <w:rsid w:val="00282E4F"/>
    <w:rsid w:val="00285B51"/>
    <w:rsid w:val="00286CF5"/>
    <w:rsid w:val="00287479"/>
    <w:rsid w:val="00290158"/>
    <w:rsid w:val="00291741"/>
    <w:rsid w:val="002931B8"/>
    <w:rsid w:val="00293416"/>
    <w:rsid w:val="002938E3"/>
    <w:rsid w:val="00293DE4"/>
    <w:rsid w:val="00293EDE"/>
    <w:rsid w:val="00295B8C"/>
    <w:rsid w:val="00295D63"/>
    <w:rsid w:val="00295EA5"/>
    <w:rsid w:val="002971C0"/>
    <w:rsid w:val="002A05BD"/>
    <w:rsid w:val="002A1218"/>
    <w:rsid w:val="002A35FB"/>
    <w:rsid w:val="002A3882"/>
    <w:rsid w:val="002A3F9C"/>
    <w:rsid w:val="002A4258"/>
    <w:rsid w:val="002A56A4"/>
    <w:rsid w:val="002A67EC"/>
    <w:rsid w:val="002A729A"/>
    <w:rsid w:val="002B065C"/>
    <w:rsid w:val="002B1AEB"/>
    <w:rsid w:val="002B223F"/>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448D"/>
    <w:rsid w:val="002D4A07"/>
    <w:rsid w:val="002D5262"/>
    <w:rsid w:val="002D63E7"/>
    <w:rsid w:val="002D6F94"/>
    <w:rsid w:val="002D7F1A"/>
    <w:rsid w:val="002E20DE"/>
    <w:rsid w:val="002E2662"/>
    <w:rsid w:val="002E322A"/>
    <w:rsid w:val="002E376A"/>
    <w:rsid w:val="002E3A72"/>
    <w:rsid w:val="002E44F8"/>
    <w:rsid w:val="002E637C"/>
    <w:rsid w:val="002E6635"/>
    <w:rsid w:val="002E6812"/>
    <w:rsid w:val="002E6D16"/>
    <w:rsid w:val="002E7478"/>
    <w:rsid w:val="002F0051"/>
    <w:rsid w:val="002F11EE"/>
    <w:rsid w:val="002F1789"/>
    <w:rsid w:val="002F208B"/>
    <w:rsid w:val="002F2865"/>
    <w:rsid w:val="002F342F"/>
    <w:rsid w:val="002F3B3A"/>
    <w:rsid w:val="002F4E04"/>
    <w:rsid w:val="002F7E81"/>
    <w:rsid w:val="00300A8E"/>
    <w:rsid w:val="0030115A"/>
    <w:rsid w:val="0030122A"/>
    <w:rsid w:val="0030176F"/>
    <w:rsid w:val="003024CD"/>
    <w:rsid w:val="003049F9"/>
    <w:rsid w:val="00304BD0"/>
    <w:rsid w:val="003053E3"/>
    <w:rsid w:val="0030547A"/>
    <w:rsid w:val="00306E07"/>
    <w:rsid w:val="00307EF9"/>
    <w:rsid w:val="003105F3"/>
    <w:rsid w:val="00310E2D"/>
    <w:rsid w:val="003113AE"/>
    <w:rsid w:val="00311582"/>
    <w:rsid w:val="00311604"/>
    <w:rsid w:val="00312917"/>
    <w:rsid w:val="00312F3A"/>
    <w:rsid w:val="00313F9C"/>
    <w:rsid w:val="00314F6D"/>
    <w:rsid w:val="00316163"/>
    <w:rsid w:val="0031740C"/>
    <w:rsid w:val="00317745"/>
    <w:rsid w:val="003178C7"/>
    <w:rsid w:val="00323019"/>
    <w:rsid w:val="00326817"/>
    <w:rsid w:val="003269A8"/>
    <w:rsid w:val="00326FEA"/>
    <w:rsid w:val="00327637"/>
    <w:rsid w:val="003279E5"/>
    <w:rsid w:val="00327BC7"/>
    <w:rsid w:val="00331152"/>
    <w:rsid w:val="00331594"/>
    <w:rsid w:val="003317A4"/>
    <w:rsid w:val="00331A65"/>
    <w:rsid w:val="00331B28"/>
    <w:rsid w:val="003349D8"/>
    <w:rsid w:val="00336C0F"/>
    <w:rsid w:val="00337120"/>
    <w:rsid w:val="0034142E"/>
    <w:rsid w:val="00341E74"/>
    <w:rsid w:val="00344139"/>
    <w:rsid w:val="00344653"/>
    <w:rsid w:val="00346BB6"/>
    <w:rsid w:val="00347A8F"/>
    <w:rsid w:val="00350615"/>
    <w:rsid w:val="00350707"/>
    <w:rsid w:val="00350A9A"/>
    <w:rsid w:val="00351134"/>
    <w:rsid w:val="00351685"/>
    <w:rsid w:val="003536E3"/>
    <w:rsid w:val="0035397A"/>
    <w:rsid w:val="00353BD1"/>
    <w:rsid w:val="003568B8"/>
    <w:rsid w:val="003578AF"/>
    <w:rsid w:val="00357D66"/>
    <w:rsid w:val="00360B1C"/>
    <w:rsid w:val="00360D23"/>
    <w:rsid w:val="00364B0A"/>
    <w:rsid w:val="00370238"/>
    <w:rsid w:val="00371077"/>
    <w:rsid w:val="003712C6"/>
    <w:rsid w:val="00372BB1"/>
    <w:rsid w:val="00372D62"/>
    <w:rsid w:val="00375285"/>
    <w:rsid w:val="00376052"/>
    <w:rsid w:val="00376B83"/>
    <w:rsid w:val="00377971"/>
    <w:rsid w:val="00377B32"/>
    <w:rsid w:val="00380E17"/>
    <w:rsid w:val="003825E4"/>
    <w:rsid w:val="00385D47"/>
    <w:rsid w:val="00385FC5"/>
    <w:rsid w:val="00387B0F"/>
    <w:rsid w:val="00387F24"/>
    <w:rsid w:val="00390B17"/>
    <w:rsid w:val="00390E9F"/>
    <w:rsid w:val="00391B09"/>
    <w:rsid w:val="00393741"/>
    <w:rsid w:val="00393963"/>
    <w:rsid w:val="00393B0D"/>
    <w:rsid w:val="00393F79"/>
    <w:rsid w:val="00394F39"/>
    <w:rsid w:val="00395DC8"/>
    <w:rsid w:val="00395E93"/>
    <w:rsid w:val="003977DA"/>
    <w:rsid w:val="00397F39"/>
    <w:rsid w:val="003A0598"/>
    <w:rsid w:val="003A0880"/>
    <w:rsid w:val="003A0A3F"/>
    <w:rsid w:val="003A0A71"/>
    <w:rsid w:val="003A23F6"/>
    <w:rsid w:val="003A3B09"/>
    <w:rsid w:val="003A412B"/>
    <w:rsid w:val="003A5463"/>
    <w:rsid w:val="003A5BDC"/>
    <w:rsid w:val="003A65E2"/>
    <w:rsid w:val="003A6B61"/>
    <w:rsid w:val="003A6C64"/>
    <w:rsid w:val="003A7C41"/>
    <w:rsid w:val="003B357C"/>
    <w:rsid w:val="003B3A5C"/>
    <w:rsid w:val="003B46D2"/>
    <w:rsid w:val="003B4CB7"/>
    <w:rsid w:val="003B5178"/>
    <w:rsid w:val="003B59CE"/>
    <w:rsid w:val="003B5F6C"/>
    <w:rsid w:val="003B6646"/>
    <w:rsid w:val="003B7D9A"/>
    <w:rsid w:val="003C0231"/>
    <w:rsid w:val="003C0C1B"/>
    <w:rsid w:val="003C283C"/>
    <w:rsid w:val="003C2C9C"/>
    <w:rsid w:val="003C2D02"/>
    <w:rsid w:val="003C3196"/>
    <w:rsid w:val="003C32FC"/>
    <w:rsid w:val="003C3C2F"/>
    <w:rsid w:val="003C67F7"/>
    <w:rsid w:val="003C6F86"/>
    <w:rsid w:val="003D0452"/>
    <w:rsid w:val="003D07F5"/>
    <w:rsid w:val="003D1955"/>
    <w:rsid w:val="003D529C"/>
    <w:rsid w:val="003D5559"/>
    <w:rsid w:val="003E299D"/>
    <w:rsid w:val="003E56AB"/>
    <w:rsid w:val="003E625B"/>
    <w:rsid w:val="003E636B"/>
    <w:rsid w:val="003E6D71"/>
    <w:rsid w:val="003E6E88"/>
    <w:rsid w:val="003F02A3"/>
    <w:rsid w:val="003F0835"/>
    <w:rsid w:val="003F1332"/>
    <w:rsid w:val="003F24C9"/>
    <w:rsid w:val="003F254A"/>
    <w:rsid w:val="003F3378"/>
    <w:rsid w:val="003F695D"/>
    <w:rsid w:val="00400CE9"/>
    <w:rsid w:val="0040231B"/>
    <w:rsid w:val="00402D80"/>
    <w:rsid w:val="00403A06"/>
    <w:rsid w:val="00404F6A"/>
    <w:rsid w:val="00404F7A"/>
    <w:rsid w:val="00406425"/>
    <w:rsid w:val="004064E0"/>
    <w:rsid w:val="00406C41"/>
    <w:rsid w:val="00406EB9"/>
    <w:rsid w:val="00406ED7"/>
    <w:rsid w:val="00407AEF"/>
    <w:rsid w:val="004119FB"/>
    <w:rsid w:val="004122B8"/>
    <w:rsid w:val="00412369"/>
    <w:rsid w:val="00412A22"/>
    <w:rsid w:val="00413255"/>
    <w:rsid w:val="00415690"/>
    <w:rsid w:val="00415696"/>
    <w:rsid w:val="0041569B"/>
    <w:rsid w:val="004169D4"/>
    <w:rsid w:val="00422846"/>
    <w:rsid w:val="00422DE0"/>
    <w:rsid w:val="00422EF3"/>
    <w:rsid w:val="00423A1D"/>
    <w:rsid w:val="00423CFE"/>
    <w:rsid w:val="0042418F"/>
    <w:rsid w:val="00424B53"/>
    <w:rsid w:val="0042566F"/>
    <w:rsid w:val="00425B34"/>
    <w:rsid w:val="00426134"/>
    <w:rsid w:val="004274E0"/>
    <w:rsid w:val="004277F0"/>
    <w:rsid w:val="0043010B"/>
    <w:rsid w:val="00430182"/>
    <w:rsid w:val="0043041F"/>
    <w:rsid w:val="004313F5"/>
    <w:rsid w:val="0043177D"/>
    <w:rsid w:val="004320E3"/>
    <w:rsid w:val="0043422F"/>
    <w:rsid w:val="004347F0"/>
    <w:rsid w:val="00434FE5"/>
    <w:rsid w:val="00435F8A"/>
    <w:rsid w:val="00437088"/>
    <w:rsid w:val="004370E5"/>
    <w:rsid w:val="004372F0"/>
    <w:rsid w:val="00437F9E"/>
    <w:rsid w:val="00440360"/>
    <w:rsid w:val="0044217A"/>
    <w:rsid w:val="00443F93"/>
    <w:rsid w:val="00444342"/>
    <w:rsid w:val="0044437B"/>
    <w:rsid w:val="004449D9"/>
    <w:rsid w:val="004466E7"/>
    <w:rsid w:val="00446A5E"/>
    <w:rsid w:val="00450D53"/>
    <w:rsid w:val="00451333"/>
    <w:rsid w:val="004514E4"/>
    <w:rsid w:val="0045249F"/>
    <w:rsid w:val="00452F27"/>
    <w:rsid w:val="00453768"/>
    <w:rsid w:val="00453782"/>
    <w:rsid w:val="004539F0"/>
    <w:rsid w:val="00453EA5"/>
    <w:rsid w:val="00454D2F"/>
    <w:rsid w:val="00456095"/>
    <w:rsid w:val="00456349"/>
    <w:rsid w:val="00456EA6"/>
    <w:rsid w:val="0045703C"/>
    <w:rsid w:val="00457358"/>
    <w:rsid w:val="0045765E"/>
    <w:rsid w:val="0045787E"/>
    <w:rsid w:val="00461FBA"/>
    <w:rsid w:val="00463124"/>
    <w:rsid w:val="004639A3"/>
    <w:rsid w:val="00465DCE"/>
    <w:rsid w:val="00466631"/>
    <w:rsid w:val="00466A4D"/>
    <w:rsid w:val="00466C53"/>
    <w:rsid w:val="004672F8"/>
    <w:rsid w:val="00467397"/>
    <w:rsid w:val="00470339"/>
    <w:rsid w:val="00471162"/>
    <w:rsid w:val="004714CC"/>
    <w:rsid w:val="00474571"/>
    <w:rsid w:val="00474F0E"/>
    <w:rsid w:val="00475136"/>
    <w:rsid w:val="004777E2"/>
    <w:rsid w:val="004778F6"/>
    <w:rsid w:val="00477B3F"/>
    <w:rsid w:val="00482194"/>
    <w:rsid w:val="0048355A"/>
    <w:rsid w:val="004843F8"/>
    <w:rsid w:val="004868BC"/>
    <w:rsid w:val="0048727F"/>
    <w:rsid w:val="00487292"/>
    <w:rsid w:val="004879B0"/>
    <w:rsid w:val="00487BDE"/>
    <w:rsid w:val="00487BDF"/>
    <w:rsid w:val="00490594"/>
    <w:rsid w:val="004919FD"/>
    <w:rsid w:val="00491C0F"/>
    <w:rsid w:val="00492074"/>
    <w:rsid w:val="00493968"/>
    <w:rsid w:val="00494AA1"/>
    <w:rsid w:val="00496641"/>
    <w:rsid w:val="004A016C"/>
    <w:rsid w:val="004A3969"/>
    <w:rsid w:val="004A4FD8"/>
    <w:rsid w:val="004A5819"/>
    <w:rsid w:val="004A6CBB"/>
    <w:rsid w:val="004B040C"/>
    <w:rsid w:val="004B0A6E"/>
    <w:rsid w:val="004B1BCE"/>
    <w:rsid w:val="004B1BF7"/>
    <w:rsid w:val="004B2131"/>
    <w:rsid w:val="004B2950"/>
    <w:rsid w:val="004B2C0E"/>
    <w:rsid w:val="004B2C2A"/>
    <w:rsid w:val="004B3823"/>
    <w:rsid w:val="004B3ADB"/>
    <w:rsid w:val="004B3C40"/>
    <w:rsid w:val="004B4611"/>
    <w:rsid w:val="004B4D09"/>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30CC"/>
    <w:rsid w:val="004D59CB"/>
    <w:rsid w:val="004D6222"/>
    <w:rsid w:val="004D7500"/>
    <w:rsid w:val="004D7C41"/>
    <w:rsid w:val="004E055B"/>
    <w:rsid w:val="004E139F"/>
    <w:rsid w:val="004E1685"/>
    <w:rsid w:val="004E1927"/>
    <w:rsid w:val="004E2F36"/>
    <w:rsid w:val="004E357B"/>
    <w:rsid w:val="004E3842"/>
    <w:rsid w:val="004E397F"/>
    <w:rsid w:val="004E79DC"/>
    <w:rsid w:val="004F04A7"/>
    <w:rsid w:val="004F1032"/>
    <w:rsid w:val="004F12AE"/>
    <w:rsid w:val="004F18BB"/>
    <w:rsid w:val="004F1B46"/>
    <w:rsid w:val="004F2B9B"/>
    <w:rsid w:val="004F391F"/>
    <w:rsid w:val="004F470F"/>
    <w:rsid w:val="004F588A"/>
    <w:rsid w:val="004F61FA"/>
    <w:rsid w:val="004F6958"/>
    <w:rsid w:val="004F7646"/>
    <w:rsid w:val="004F7708"/>
    <w:rsid w:val="005004A9"/>
    <w:rsid w:val="005008FD"/>
    <w:rsid w:val="005010F7"/>
    <w:rsid w:val="005011AE"/>
    <w:rsid w:val="00501961"/>
    <w:rsid w:val="00502E97"/>
    <w:rsid w:val="005036B6"/>
    <w:rsid w:val="005052B5"/>
    <w:rsid w:val="005062C0"/>
    <w:rsid w:val="00506B1D"/>
    <w:rsid w:val="0050706D"/>
    <w:rsid w:val="00507C91"/>
    <w:rsid w:val="0051086E"/>
    <w:rsid w:val="005125F5"/>
    <w:rsid w:val="005126C9"/>
    <w:rsid w:val="005139D5"/>
    <w:rsid w:val="00514FC6"/>
    <w:rsid w:val="00517CD9"/>
    <w:rsid w:val="0052145D"/>
    <w:rsid w:val="00522C43"/>
    <w:rsid w:val="005234FD"/>
    <w:rsid w:val="0052372B"/>
    <w:rsid w:val="00524349"/>
    <w:rsid w:val="005243DA"/>
    <w:rsid w:val="00524AB3"/>
    <w:rsid w:val="0052508C"/>
    <w:rsid w:val="00525597"/>
    <w:rsid w:val="0052593B"/>
    <w:rsid w:val="00525C10"/>
    <w:rsid w:val="00526231"/>
    <w:rsid w:val="00526958"/>
    <w:rsid w:val="00526989"/>
    <w:rsid w:val="00527686"/>
    <w:rsid w:val="00530335"/>
    <w:rsid w:val="00532296"/>
    <w:rsid w:val="00533739"/>
    <w:rsid w:val="00535C72"/>
    <w:rsid w:val="00536503"/>
    <w:rsid w:val="005372A9"/>
    <w:rsid w:val="00540872"/>
    <w:rsid w:val="005410AB"/>
    <w:rsid w:val="00541145"/>
    <w:rsid w:val="00541A5B"/>
    <w:rsid w:val="00542352"/>
    <w:rsid w:val="00542F7C"/>
    <w:rsid w:val="00543602"/>
    <w:rsid w:val="0054534B"/>
    <w:rsid w:val="005465FC"/>
    <w:rsid w:val="00547C14"/>
    <w:rsid w:val="00547F50"/>
    <w:rsid w:val="00550C2B"/>
    <w:rsid w:val="00550E0D"/>
    <w:rsid w:val="005521F5"/>
    <w:rsid w:val="00553837"/>
    <w:rsid w:val="00555194"/>
    <w:rsid w:val="005559E1"/>
    <w:rsid w:val="005564AD"/>
    <w:rsid w:val="00556A4A"/>
    <w:rsid w:val="00560DF2"/>
    <w:rsid w:val="00565B42"/>
    <w:rsid w:val="00565C2F"/>
    <w:rsid w:val="005661A9"/>
    <w:rsid w:val="00566F5B"/>
    <w:rsid w:val="00571197"/>
    <w:rsid w:val="0057613E"/>
    <w:rsid w:val="005770A0"/>
    <w:rsid w:val="00577637"/>
    <w:rsid w:val="00581426"/>
    <w:rsid w:val="00581670"/>
    <w:rsid w:val="005822BD"/>
    <w:rsid w:val="0058296F"/>
    <w:rsid w:val="00582F52"/>
    <w:rsid w:val="00583881"/>
    <w:rsid w:val="00583C5F"/>
    <w:rsid w:val="00584536"/>
    <w:rsid w:val="00585630"/>
    <w:rsid w:val="00585984"/>
    <w:rsid w:val="00590274"/>
    <w:rsid w:val="00590539"/>
    <w:rsid w:val="00590851"/>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5CAA"/>
    <w:rsid w:val="005A6723"/>
    <w:rsid w:val="005A74D3"/>
    <w:rsid w:val="005B04E7"/>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D02FF"/>
    <w:rsid w:val="005D2339"/>
    <w:rsid w:val="005D3420"/>
    <w:rsid w:val="005D515A"/>
    <w:rsid w:val="005D56FB"/>
    <w:rsid w:val="005D5D2A"/>
    <w:rsid w:val="005D6853"/>
    <w:rsid w:val="005D6E06"/>
    <w:rsid w:val="005E024C"/>
    <w:rsid w:val="005E1E32"/>
    <w:rsid w:val="005E2C83"/>
    <w:rsid w:val="005E351B"/>
    <w:rsid w:val="005E4D5B"/>
    <w:rsid w:val="005E56C0"/>
    <w:rsid w:val="005E5B8B"/>
    <w:rsid w:val="005E5EA5"/>
    <w:rsid w:val="005E63B8"/>
    <w:rsid w:val="005F0024"/>
    <w:rsid w:val="005F2A47"/>
    <w:rsid w:val="005F43B9"/>
    <w:rsid w:val="005F4532"/>
    <w:rsid w:val="005F464F"/>
    <w:rsid w:val="005F5B8F"/>
    <w:rsid w:val="005F5EC8"/>
    <w:rsid w:val="005F6D09"/>
    <w:rsid w:val="005F7F6C"/>
    <w:rsid w:val="006008AD"/>
    <w:rsid w:val="00600FDA"/>
    <w:rsid w:val="00601D9F"/>
    <w:rsid w:val="00604014"/>
    <w:rsid w:val="0060403D"/>
    <w:rsid w:val="00605673"/>
    <w:rsid w:val="00610FEF"/>
    <w:rsid w:val="006112C6"/>
    <w:rsid w:val="006121D1"/>
    <w:rsid w:val="00613975"/>
    <w:rsid w:val="00614DBC"/>
    <w:rsid w:val="00617262"/>
    <w:rsid w:val="0062022E"/>
    <w:rsid w:val="00620282"/>
    <w:rsid w:val="0062100A"/>
    <w:rsid w:val="006211CA"/>
    <w:rsid w:val="00621816"/>
    <w:rsid w:val="00622660"/>
    <w:rsid w:val="006226C4"/>
    <w:rsid w:val="00623622"/>
    <w:rsid w:val="00623A40"/>
    <w:rsid w:val="00624C61"/>
    <w:rsid w:val="0062555F"/>
    <w:rsid w:val="00625650"/>
    <w:rsid w:val="00625BAD"/>
    <w:rsid w:val="00625E75"/>
    <w:rsid w:val="00625F48"/>
    <w:rsid w:val="00626033"/>
    <w:rsid w:val="006265F8"/>
    <w:rsid w:val="00626EDF"/>
    <w:rsid w:val="0063087F"/>
    <w:rsid w:val="00630A9B"/>
    <w:rsid w:val="00631C2A"/>
    <w:rsid w:val="00631CF4"/>
    <w:rsid w:val="0063371A"/>
    <w:rsid w:val="00642AF2"/>
    <w:rsid w:val="00644598"/>
    <w:rsid w:val="00644A88"/>
    <w:rsid w:val="006469EB"/>
    <w:rsid w:val="00647DE9"/>
    <w:rsid w:val="00650BAD"/>
    <w:rsid w:val="00650D99"/>
    <w:rsid w:val="00650F48"/>
    <w:rsid w:val="0065146C"/>
    <w:rsid w:val="00652BE8"/>
    <w:rsid w:val="006536B3"/>
    <w:rsid w:val="006540A8"/>
    <w:rsid w:val="00654BE0"/>
    <w:rsid w:val="00654CB7"/>
    <w:rsid w:val="00655912"/>
    <w:rsid w:val="00656DA2"/>
    <w:rsid w:val="00657B27"/>
    <w:rsid w:val="00662C89"/>
    <w:rsid w:val="00662DE7"/>
    <w:rsid w:val="00662ED1"/>
    <w:rsid w:val="00663742"/>
    <w:rsid w:val="00665106"/>
    <w:rsid w:val="006672D3"/>
    <w:rsid w:val="00671D44"/>
    <w:rsid w:val="006724B5"/>
    <w:rsid w:val="00673396"/>
    <w:rsid w:val="006734C3"/>
    <w:rsid w:val="00673928"/>
    <w:rsid w:val="00673B5A"/>
    <w:rsid w:val="006741BE"/>
    <w:rsid w:val="0067478E"/>
    <w:rsid w:val="00674D62"/>
    <w:rsid w:val="006757B9"/>
    <w:rsid w:val="00675CD5"/>
    <w:rsid w:val="00676777"/>
    <w:rsid w:val="00676C2B"/>
    <w:rsid w:val="00676FA3"/>
    <w:rsid w:val="00677316"/>
    <w:rsid w:val="00677DEA"/>
    <w:rsid w:val="00680396"/>
    <w:rsid w:val="0068176C"/>
    <w:rsid w:val="00681D59"/>
    <w:rsid w:val="006823EF"/>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A02E3"/>
    <w:rsid w:val="006A0CD5"/>
    <w:rsid w:val="006A1494"/>
    <w:rsid w:val="006A2043"/>
    <w:rsid w:val="006A2341"/>
    <w:rsid w:val="006A23DA"/>
    <w:rsid w:val="006A28D5"/>
    <w:rsid w:val="006A2F3E"/>
    <w:rsid w:val="006A3289"/>
    <w:rsid w:val="006A3933"/>
    <w:rsid w:val="006A4E00"/>
    <w:rsid w:val="006A6000"/>
    <w:rsid w:val="006A6C8E"/>
    <w:rsid w:val="006A73D4"/>
    <w:rsid w:val="006A7E73"/>
    <w:rsid w:val="006B1022"/>
    <w:rsid w:val="006B1C47"/>
    <w:rsid w:val="006B2935"/>
    <w:rsid w:val="006B29B2"/>
    <w:rsid w:val="006B30B6"/>
    <w:rsid w:val="006B3531"/>
    <w:rsid w:val="006B4E65"/>
    <w:rsid w:val="006B5356"/>
    <w:rsid w:val="006C046E"/>
    <w:rsid w:val="006C07E6"/>
    <w:rsid w:val="006C10D8"/>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E010B"/>
    <w:rsid w:val="006E0C28"/>
    <w:rsid w:val="006E4126"/>
    <w:rsid w:val="006E412F"/>
    <w:rsid w:val="006E5182"/>
    <w:rsid w:val="006E566F"/>
    <w:rsid w:val="006E5B52"/>
    <w:rsid w:val="006E6142"/>
    <w:rsid w:val="006E66A9"/>
    <w:rsid w:val="006E6A15"/>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F1A"/>
    <w:rsid w:val="007138C0"/>
    <w:rsid w:val="00713E88"/>
    <w:rsid w:val="00714724"/>
    <w:rsid w:val="007147D9"/>
    <w:rsid w:val="00714998"/>
    <w:rsid w:val="0071784A"/>
    <w:rsid w:val="00720E9D"/>
    <w:rsid w:val="00721005"/>
    <w:rsid w:val="007212A7"/>
    <w:rsid w:val="00721324"/>
    <w:rsid w:val="00721CD9"/>
    <w:rsid w:val="00722C59"/>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6685"/>
    <w:rsid w:val="0074107C"/>
    <w:rsid w:val="007411FA"/>
    <w:rsid w:val="00741915"/>
    <w:rsid w:val="00745CDA"/>
    <w:rsid w:val="00745D6B"/>
    <w:rsid w:val="00745F8D"/>
    <w:rsid w:val="00746AD2"/>
    <w:rsid w:val="0074788C"/>
    <w:rsid w:val="007478F4"/>
    <w:rsid w:val="00747AB8"/>
    <w:rsid w:val="007514FF"/>
    <w:rsid w:val="007530EB"/>
    <w:rsid w:val="00753E7E"/>
    <w:rsid w:val="00754ADF"/>
    <w:rsid w:val="007557C1"/>
    <w:rsid w:val="00755A89"/>
    <w:rsid w:val="00757626"/>
    <w:rsid w:val="0076061C"/>
    <w:rsid w:val="007617AC"/>
    <w:rsid w:val="00765684"/>
    <w:rsid w:val="00765B73"/>
    <w:rsid w:val="00772CE4"/>
    <w:rsid w:val="00772D02"/>
    <w:rsid w:val="00773AE9"/>
    <w:rsid w:val="0077467B"/>
    <w:rsid w:val="00774879"/>
    <w:rsid w:val="00774C57"/>
    <w:rsid w:val="00777926"/>
    <w:rsid w:val="007800EC"/>
    <w:rsid w:val="00780202"/>
    <w:rsid w:val="00780889"/>
    <w:rsid w:val="00781B98"/>
    <w:rsid w:val="00781C63"/>
    <w:rsid w:val="00781E88"/>
    <w:rsid w:val="00781EB0"/>
    <w:rsid w:val="00782B0B"/>
    <w:rsid w:val="007843F6"/>
    <w:rsid w:val="00784E4C"/>
    <w:rsid w:val="00786EFF"/>
    <w:rsid w:val="00787AD3"/>
    <w:rsid w:val="00787B74"/>
    <w:rsid w:val="0079001A"/>
    <w:rsid w:val="0079005C"/>
    <w:rsid w:val="007912B2"/>
    <w:rsid w:val="00792D6A"/>
    <w:rsid w:val="007934EA"/>
    <w:rsid w:val="007941CD"/>
    <w:rsid w:val="007951DD"/>
    <w:rsid w:val="007953E7"/>
    <w:rsid w:val="0079628D"/>
    <w:rsid w:val="00796E0C"/>
    <w:rsid w:val="007A093C"/>
    <w:rsid w:val="007A18BE"/>
    <w:rsid w:val="007A2DAC"/>
    <w:rsid w:val="007A3A01"/>
    <w:rsid w:val="007A3BF2"/>
    <w:rsid w:val="007A44F0"/>
    <w:rsid w:val="007A5519"/>
    <w:rsid w:val="007A5881"/>
    <w:rsid w:val="007A589F"/>
    <w:rsid w:val="007A7CD8"/>
    <w:rsid w:val="007B213A"/>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33D4"/>
    <w:rsid w:val="007C3A9C"/>
    <w:rsid w:val="007C4609"/>
    <w:rsid w:val="007C7585"/>
    <w:rsid w:val="007D05AA"/>
    <w:rsid w:val="007D137E"/>
    <w:rsid w:val="007D1AA7"/>
    <w:rsid w:val="007D1C0E"/>
    <w:rsid w:val="007D2211"/>
    <w:rsid w:val="007D24D9"/>
    <w:rsid w:val="007D42F0"/>
    <w:rsid w:val="007D4BD3"/>
    <w:rsid w:val="007D4BF4"/>
    <w:rsid w:val="007D540C"/>
    <w:rsid w:val="007D68BF"/>
    <w:rsid w:val="007D6BF5"/>
    <w:rsid w:val="007D6E1D"/>
    <w:rsid w:val="007D709F"/>
    <w:rsid w:val="007D7F88"/>
    <w:rsid w:val="007E0EA2"/>
    <w:rsid w:val="007E149E"/>
    <w:rsid w:val="007E15B7"/>
    <w:rsid w:val="007E1D76"/>
    <w:rsid w:val="007E1EBE"/>
    <w:rsid w:val="007E20BB"/>
    <w:rsid w:val="007E24AE"/>
    <w:rsid w:val="007E2914"/>
    <w:rsid w:val="007E29CF"/>
    <w:rsid w:val="007E3ED4"/>
    <w:rsid w:val="007E6E1B"/>
    <w:rsid w:val="007E6F6A"/>
    <w:rsid w:val="007E7802"/>
    <w:rsid w:val="007F20DA"/>
    <w:rsid w:val="007F219F"/>
    <w:rsid w:val="007F23AB"/>
    <w:rsid w:val="007F345B"/>
    <w:rsid w:val="007F35F8"/>
    <w:rsid w:val="007F3A28"/>
    <w:rsid w:val="007F3B3F"/>
    <w:rsid w:val="007F3B85"/>
    <w:rsid w:val="00800E58"/>
    <w:rsid w:val="008014A3"/>
    <w:rsid w:val="00802E7F"/>
    <w:rsid w:val="0080336B"/>
    <w:rsid w:val="00803D6C"/>
    <w:rsid w:val="00804B17"/>
    <w:rsid w:val="00805669"/>
    <w:rsid w:val="00810111"/>
    <w:rsid w:val="008102F3"/>
    <w:rsid w:val="008104C6"/>
    <w:rsid w:val="00811319"/>
    <w:rsid w:val="00811A2D"/>
    <w:rsid w:val="00812636"/>
    <w:rsid w:val="00812AF2"/>
    <w:rsid w:val="008141BD"/>
    <w:rsid w:val="008149F2"/>
    <w:rsid w:val="0081588D"/>
    <w:rsid w:val="00815AED"/>
    <w:rsid w:val="00816328"/>
    <w:rsid w:val="00816C33"/>
    <w:rsid w:val="00817EE8"/>
    <w:rsid w:val="00821976"/>
    <w:rsid w:val="0082203F"/>
    <w:rsid w:val="00823CF0"/>
    <w:rsid w:val="008249DC"/>
    <w:rsid w:val="00826A24"/>
    <w:rsid w:val="0083049B"/>
    <w:rsid w:val="008328A2"/>
    <w:rsid w:val="008334B6"/>
    <w:rsid w:val="00833BD8"/>
    <w:rsid w:val="008347C4"/>
    <w:rsid w:val="008352E1"/>
    <w:rsid w:val="00836564"/>
    <w:rsid w:val="00837319"/>
    <w:rsid w:val="00842425"/>
    <w:rsid w:val="00843E2E"/>
    <w:rsid w:val="008449C1"/>
    <w:rsid w:val="00846A64"/>
    <w:rsid w:val="00847693"/>
    <w:rsid w:val="00847DF3"/>
    <w:rsid w:val="00851467"/>
    <w:rsid w:val="00852DC5"/>
    <w:rsid w:val="008536C7"/>
    <w:rsid w:val="00853B4E"/>
    <w:rsid w:val="0085437A"/>
    <w:rsid w:val="00855312"/>
    <w:rsid w:val="0085686D"/>
    <w:rsid w:val="00856D07"/>
    <w:rsid w:val="008575A9"/>
    <w:rsid w:val="0085797B"/>
    <w:rsid w:val="00861015"/>
    <w:rsid w:val="00863FA7"/>
    <w:rsid w:val="0086498F"/>
    <w:rsid w:val="00864FF7"/>
    <w:rsid w:val="00865154"/>
    <w:rsid w:val="008667E4"/>
    <w:rsid w:val="008668E5"/>
    <w:rsid w:val="008678B6"/>
    <w:rsid w:val="0087169B"/>
    <w:rsid w:val="008722BD"/>
    <w:rsid w:val="00872A9C"/>
    <w:rsid w:val="00872C6C"/>
    <w:rsid w:val="0087323B"/>
    <w:rsid w:val="00873465"/>
    <w:rsid w:val="00873B40"/>
    <w:rsid w:val="00874254"/>
    <w:rsid w:val="0087530A"/>
    <w:rsid w:val="00875442"/>
    <w:rsid w:val="008763C7"/>
    <w:rsid w:val="00877E13"/>
    <w:rsid w:val="0088117E"/>
    <w:rsid w:val="00882708"/>
    <w:rsid w:val="008835ED"/>
    <w:rsid w:val="00884584"/>
    <w:rsid w:val="00885366"/>
    <w:rsid w:val="00887BC3"/>
    <w:rsid w:val="00893091"/>
    <w:rsid w:val="00895B89"/>
    <w:rsid w:val="00895F1A"/>
    <w:rsid w:val="00896606"/>
    <w:rsid w:val="00897632"/>
    <w:rsid w:val="008A10C5"/>
    <w:rsid w:val="008A1C99"/>
    <w:rsid w:val="008A296D"/>
    <w:rsid w:val="008A428B"/>
    <w:rsid w:val="008A52B0"/>
    <w:rsid w:val="008A616C"/>
    <w:rsid w:val="008A7E58"/>
    <w:rsid w:val="008B0874"/>
    <w:rsid w:val="008B25C4"/>
    <w:rsid w:val="008B2DC0"/>
    <w:rsid w:val="008B353A"/>
    <w:rsid w:val="008B39FF"/>
    <w:rsid w:val="008B5ADB"/>
    <w:rsid w:val="008B5F33"/>
    <w:rsid w:val="008B7164"/>
    <w:rsid w:val="008C04AF"/>
    <w:rsid w:val="008C1F11"/>
    <w:rsid w:val="008C5AF9"/>
    <w:rsid w:val="008C618F"/>
    <w:rsid w:val="008C67CE"/>
    <w:rsid w:val="008C68C3"/>
    <w:rsid w:val="008C6BA2"/>
    <w:rsid w:val="008C6F7F"/>
    <w:rsid w:val="008D0AEC"/>
    <w:rsid w:val="008D0B80"/>
    <w:rsid w:val="008D184C"/>
    <w:rsid w:val="008D3EE1"/>
    <w:rsid w:val="008D4E90"/>
    <w:rsid w:val="008D5009"/>
    <w:rsid w:val="008D67C5"/>
    <w:rsid w:val="008D6F40"/>
    <w:rsid w:val="008D740E"/>
    <w:rsid w:val="008E20C6"/>
    <w:rsid w:val="008E25C6"/>
    <w:rsid w:val="008E3102"/>
    <w:rsid w:val="008E472A"/>
    <w:rsid w:val="008E4840"/>
    <w:rsid w:val="008E6977"/>
    <w:rsid w:val="008F03D0"/>
    <w:rsid w:val="008F058A"/>
    <w:rsid w:val="008F061F"/>
    <w:rsid w:val="008F15D3"/>
    <w:rsid w:val="008F2E58"/>
    <w:rsid w:val="008F4304"/>
    <w:rsid w:val="008F4520"/>
    <w:rsid w:val="008F49D9"/>
    <w:rsid w:val="008F4A1C"/>
    <w:rsid w:val="008F5A2C"/>
    <w:rsid w:val="008F6064"/>
    <w:rsid w:val="008F6F74"/>
    <w:rsid w:val="009006B8"/>
    <w:rsid w:val="00900AA8"/>
    <w:rsid w:val="00902CD9"/>
    <w:rsid w:val="00903028"/>
    <w:rsid w:val="00904D1F"/>
    <w:rsid w:val="00905067"/>
    <w:rsid w:val="00906B50"/>
    <w:rsid w:val="0090703A"/>
    <w:rsid w:val="0090784F"/>
    <w:rsid w:val="00907CAA"/>
    <w:rsid w:val="00910236"/>
    <w:rsid w:val="00911010"/>
    <w:rsid w:val="00911F0F"/>
    <w:rsid w:val="00912D94"/>
    <w:rsid w:val="00913DE3"/>
    <w:rsid w:val="00914410"/>
    <w:rsid w:val="009147BD"/>
    <w:rsid w:val="0091790A"/>
    <w:rsid w:val="00920E2B"/>
    <w:rsid w:val="00921E81"/>
    <w:rsid w:val="00921F9B"/>
    <w:rsid w:val="00922B99"/>
    <w:rsid w:val="00922F48"/>
    <w:rsid w:val="0092319A"/>
    <w:rsid w:val="00923924"/>
    <w:rsid w:val="009242F4"/>
    <w:rsid w:val="00924851"/>
    <w:rsid w:val="00924A00"/>
    <w:rsid w:val="00926D3D"/>
    <w:rsid w:val="0092773D"/>
    <w:rsid w:val="00930A25"/>
    <w:rsid w:val="00931744"/>
    <w:rsid w:val="00931829"/>
    <w:rsid w:val="00932147"/>
    <w:rsid w:val="00934E2E"/>
    <w:rsid w:val="0093602D"/>
    <w:rsid w:val="00937A77"/>
    <w:rsid w:val="009406D7"/>
    <w:rsid w:val="00942787"/>
    <w:rsid w:val="00942C46"/>
    <w:rsid w:val="00942C5F"/>
    <w:rsid w:val="00944568"/>
    <w:rsid w:val="009452BC"/>
    <w:rsid w:val="009460A7"/>
    <w:rsid w:val="009463A9"/>
    <w:rsid w:val="009469A8"/>
    <w:rsid w:val="009469CF"/>
    <w:rsid w:val="0095058B"/>
    <w:rsid w:val="0095351B"/>
    <w:rsid w:val="00953DFA"/>
    <w:rsid w:val="009543F7"/>
    <w:rsid w:val="0095463F"/>
    <w:rsid w:val="00955656"/>
    <w:rsid w:val="0095779B"/>
    <w:rsid w:val="009579E7"/>
    <w:rsid w:val="009605C4"/>
    <w:rsid w:val="00960EEF"/>
    <w:rsid w:val="009616E1"/>
    <w:rsid w:val="00961D4F"/>
    <w:rsid w:val="00963E77"/>
    <w:rsid w:val="009642E5"/>
    <w:rsid w:val="00965ADC"/>
    <w:rsid w:val="009660C1"/>
    <w:rsid w:val="00967ED8"/>
    <w:rsid w:val="009723C9"/>
    <w:rsid w:val="00973C8C"/>
    <w:rsid w:val="00974F0F"/>
    <w:rsid w:val="0097637D"/>
    <w:rsid w:val="00976397"/>
    <w:rsid w:val="00977677"/>
    <w:rsid w:val="00980733"/>
    <w:rsid w:val="00980839"/>
    <w:rsid w:val="009823B6"/>
    <w:rsid w:val="009837B9"/>
    <w:rsid w:val="00984EA7"/>
    <w:rsid w:val="009855F8"/>
    <w:rsid w:val="00985C67"/>
    <w:rsid w:val="0098602D"/>
    <w:rsid w:val="00987CBE"/>
    <w:rsid w:val="00987E88"/>
    <w:rsid w:val="0099187F"/>
    <w:rsid w:val="0099201C"/>
    <w:rsid w:val="00992DEC"/>
    <w:rsid w:val="009931CF"/>
    <w:rsid w:val="0099375D"/>
    <w:rsid w:val="00994113"/>
    <w:rsid w:val="00994197"/>
    <w:rsid w:val="00995FDB"/>
    <w:rsid w:val="00996848"/>
    <w:rsid w:val="00997516"/>
    <w:rsid w:val="009A1BBD"/>
    <w:rsid w:val="009A2EB3"/>
    <w:rsid w:val="009A718D"/>
    <w:rsid w:val="009A77C8"/>
    <w:rsid w:val="009A7B67"/>
    <w:rsid w:val="009A7FCE"/>
    <w:rsid w:val="009B3148"/>
    <w:rsid w:val="009B57B4"/>
    <w:rsid w:val="009B5EC7"/>
    <w:rsid w:val="009B7111"/>
    <w:rsid w:val="009C111C"/>
    <w:rsid w:val="009C2F78"/>
    <w:rsid w:val="009C335B"/>
    <w:rsid w:val="009C3D84"/>
    <w:rsid w:val="009C4A2E"/>
    <w:rsid w:val="009C5345"/>
    <w:rsid w:val="009C65DA"/>
    <w:rsid w:val="009C685F"/>
    <w:rsid w:val="009C6966"/>
    <w:rsid w:val="009C6F0C"/>
    <w:rsid w:val="009C7AD3"/>
    <w:rsid w:val="009C7F81"/>
    <w:rsid w:val="009D00A5"/>
    <w:rsid w:val="009D22A3"/>
    <w:rsid w:val="009D2DEA"/>
    <w:rsid w:val="009D65CC"/>
    <w:rsid w:val="009D7B53"/>
    <w:rsid w:val="009E003A"/>
    <w:rsid w:val="009E05F1"/>
    <w:rsid w:val="009E21D1"/>
    <w:rsid w:val="009E276F"/>
    <w:rsid w:val="009E2965"/>
    <w:rsid w:val="009E2DF0"/>
    <w:rsid w:val="009E2E6D"/>
    <w:rsid w:val="009E3938"/>
    <w:rsid w:val="009E4CF0"/>
    <w:rsid w:val="009E58EF"/>
    <w:rsid w:val="009E59F1"/>
    <w:rsid w:val="009E5F0C"/>
    <w:rsid w:val="009E63EB"/>
    <w:rsid w:val="009E64C0"/>
    <w:rsid w:val="009E6727"/>
    <w:rsid w:val="009E7C19"/>
    <w:rsid w:val="009F0444"/>
    <w:rsid w:val="009F1D07"/>
    <w:rsid w:val="009F37BA"/>
    <w:rsid w:val="009F3C6F"/>
    <w:rsid w:val="009F4983"/>
    <w:rsid w:val="009F4A44"/>
    <w:rsid w:val="009F4BC1"/>
    <w:rsid w:val="009F5699"/>
    <w:rsid w:val="009F6565"/>
    <w:rsid w:val="009F6D8B"/>
    <w:rsid w:val="009F75F8"/>
    <w:rsid w:val="00A00519"/>
    <w:rsid w:val="00A015EE"/>
    <w:rsid w:val="00A024C0"/>
    <w:rsid w:val="00A027EA"/>
    <w:rsid w:val="00A02900"/>
    <w:rsid w:val="00A02ACF"/>
    <w:rsid w:val="00A03EFE"/>
    <w:rsid w:val="00A043C9"/>
    <w:rsid w:val="00A06F8A"/>
    <w:rsid w:val="00A073F1"/>
    <w:rsid w:val="00A07E5B"/>
    <w:rsid w:val="00A110C7"/>
    <w:rsid w:val="00A11CA5"/>
    <w:rsid w:val="00A123C9"/>
    <w:rsid w:val="00A13615"/>
    <w:rsid w:val="00A13730"/>
    <w:rsid w:val="00A139EB"/>
    <w:rsid w:val="00A13C51"/>
    <w:rsid w:val="00A14040"/>
    <w:rsid w:val="00A145E8"/>
    <w:rsid w:val="00A1499A"/>
    <w:rsid w:val="00A15DEA"/>
    <w:rsid w:val="00A2046E"/>
    <w:rsid w:val="00A22643"/>
    <w:rsid w:val="00A22E6C"/>
    <w:rsid w:val="00A23AA5"/>
    <w:rsid w:val="00A24251"/>
    <w:rsid w:val="00A24328"/>
    <w:rsid w:val="00A26409"/>
    <w:rsid w:val="00A26F05"/>
    <w:rsid w:val="00A300F4"/>
    <w:rsid w:val="00A3218F"/>
    <w:rsid w:val="00A32F62"/>
    <w:rsid w:val="00A32F74"/>
    <w:rsid w:val="00A3374A"/>
    <w:rsid w:val="00A33CEC"/>
    <w:rsid w:val="00A37C25"/>
    <w:rsid w:val="00A41A88"/>
    <w:rsid w:val="00A42562"/>
    <w:rsid w:val="00A4289A"/>
    <w:rsid w:val="00A43D30"/>
    <w:rsid w:val="00A44C7F"/>
    <w:rsid w:val="00A452C7"/>
    <w:rsid w:val="00A45339"/>
    <w:rsid w:val="00A464ED"/>
    <w:rsid w:val="00A47AF8"/>
    <w:rsid w:val="00A50084"/>
    <w:rsid w:val="00A502C4"/>
    <w:rsid w:val="00A506FE"/>
    <w:rsid w:val="00A507CF"/>
    <w:rsid w:val="00A510D5"/>
    <w:rsid w:val="00A51490"/>
    <w:rsid w:val="00A5305D"/>
    <w:rsid w:val="00A541E1"/>
    <w:rsid w:val="00A54E45"/>
    <w:rsid w:val="00A54F0E"/>
    <w:rsid w:val="00A550B5"/>
    <w:rsid w:val="00A5515C"/>
    <w:rsid w:val="00A5635E"/>
    <w:rsid w:val="00A57631"/>
    <w:rsid w:val="00A57E10"/>
    <w:rsid w:val="00A610E2"/>
    <w:rsid w:val="00A61E38"/>
    <w:rsid w:val="00A629BD"/>
    <w:rsid w:val="00A6468D"/>
    <w:rsid w:val="00A64E05"/>
    <w:rsid w:val="00A64E89"/>
    <w:rsid w:val="00A6648A"/>
    <w:rsid w:val="00A67AE0"/>
    <w:rsid w:val="00A72136"/>
    <w:rsid w:val="00A75059"/>
    <w:rsid w:val="00A75FEF"/>
    <w:rsid w:val="00A76956"/>
    <w:rsid w:val="00A76B31"/>
    <w:rsid w:val="00A76C49"/>
    <w:rsid w:val="00A771CB"/>
    <w:rsid w:val="00A80CEF"/>
    <w:rsid w:val="00A8198D"/>
    <w:rsid w:val="00A8210A"/>
    <w:rsid w:val="00A83B23"/>
    <w:rsid w:val="00A8498E"/>
    <w:rsid w:val="00A8523F"/>
    <w:rsid w:val="00A85762"/>
    <w:rsid w:val="00A87136"/>
    <w:rsid w:val="00A87CA9"/>
    <w:rsid w:val="00A90540"/>
    <w:rsid w:val="00A92F82"/>
    <w:rsid w:val="00A94C54"/>
    <w:rsid w:val="00A95E22"/>
    <w:rsid w:val="00A9763E"/>
    <w:rsid w:val="00AA16A9"/>
    <w:rsid w:val="00AA46DD"/>
    <w:rsid w:val="00AA7448"/>
    <w:rsid w:val="00AA7A58"/>
    <w:rsid w:val="00AA7EDE"/>
    <w:rsid w:val="00AA7FBF"/>
    <w:rsid w:val="00AB1575"/>
    <w:rsid w:val="00AB1A57"/>
    <w:rsid w:val="00AB20FD"/>
    <w:rsid w:val="00AB24C7"/>
    <w:rsid w:val="00AB2F96"/>
    <w:rsid w:val="00AB3DB3"/>
    <w:rsid w:val="00AB414D"/>
    <w:rsid w:val="00AB56E5"/>
    <w:rsid w:val="00AB6291"/>
    <w:rsid w:val="00AB6765"/>
    <w:rsid w:val="00AB6CE7"/>
    <w:rsid w:val="00AB742A"/>
    <w:rsid w:val="00AB751B"/>
    <w:rsid w:val="00AC2A8F"/>
    <w:rsid w:val="00AC5FC6"/>
    <w:rsid w:val="00AC67B0"/>
    <w:rsid w:val="00AC75B9"/>
    <w:rsid w:val="00AD08E7"/>
    <w:rsid w:val="00AD1C86"/>
    <w:rsid w:val="00AD2480"/>
    <w:rsid w:val="00AD2656"/>
    <w:rsid w:val="00AD31D7"/>
    <w:rsid w:val="00AD4132"/>
    <w:rsid w:val="00AD444A"/>
    <w:rsid w:val="00AD64AE"/>
    <w:rsid w:val="00AD7B1E"/>
    <w:rsid w:val="00AE0063"/>
    <w:rsid w:val="00AE01F2"/>
    <w:rsid w:val="00AE046E"/>
    <w:rsid w:val="00AE0F07"/>
    <w:rsid w:val="00AE194C"/>
    <w:rsid w:val="00AE328D"/>
    <w:rsid w:val="00AE3BE2"/>
    <w:rsid w:val="00AE40A1"/>
    <w:rsid w:val="00AE4930"/>
    <w:rsid w:val="00AE4F88"/>
    <w:rsid w:val="00AE570D"/>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7591"/>
    <w:rsid w:val="00B10C04"/>
    <w:rsid w:val="00B14035"/>
    <w:rsid w:val="00B147D9"/>
    <w:rsid w:val="00B1580A"/>
    <w:rsid w:val="00B16405"/>
    <w:rsid w:val="00B16646"/>
    <w:rsid w:val="00B16F12"/>
    <w:rsid w:val="00B17F96"/>
    <w:rsid w:val="00B20ACD"/>
    <w:rsid w:val="00B245E4"/>
    <w:rsid w:val="00B25035"/>
    <w:rsid w:val="00B26605"/>
    <w:rsid w:val="00B2678A"/>
    <w:rsid w:val="00B27482"/>
    <w:rsid w:val="00B2773E"/>
    <w:rsid w:val="00B2779D"/>
    <w:rsid w:val="00B279FC"/>
    <w:rsid w:val="00B311A6"/>
    <w:rsid w:val="00B31896"/>
    <w:rsid w:val="00B31A9D"/>
    <w:rsid w:val="00B31CB0"/>
    <w:rsid w:val="00B3205F"/>
    <w:rsid w:val="00B33050"/>
    <w:rsid w:val="00B34FD4"/>
    <w:rsid w:val="00B35398"/>
    <w:rsid w:val="00B35B52"/>
    <w:rsid w:val="00B36799"/>
    <w:rsid w:val="00B36F5A"/>
    <w:rsid w:val="00B41CA6"/>
    <w:rsid w:val="00B42EDB"/>
    <w:rsid w:val="00B43A8D"/>
    <w:rsid w:val="00B44403"/>
    <w:rsid w:val="00B449D6"/>
    <w:rsid w:val="00B458FE"/>
    <w:rsid w:val="00B45C73"/>
    <w:rsid w:val="00B45E0D"/>
    <w:rsid w:val="00B475D5"/>
    <w:rsid w:val="00B50B92"/>
    <w:rsid w:val="00B51605"/>
    <w:rsid w:val="00B51E7E"/>
    <w:rsid w:val="00B5420C"/>
    <w:rsid w:val="00B542AE"/>
    <w:rsid w:val="00B545FA"/>
    <w:rsid w:val="00B56160"/>
    <w:rsid w:val="00B56577"/>
    <w:rsid w:val="00B574EE"/>
    <w:rsid w:val="00B5779E"/>
    <w:rsid w:val="00B57915"/>
    <w:rsid w:val="00B57944"/>
    <w:rsid w:val="00B603BD"/>
    <w:rsid w:val="00B60AA2"/>
    <w:rsid w:val="00B6226E"/>
    <w:rsid w:val="00B624D8"/>
    <w:rsid w:val="00B6377A"/>
    <w:rsid w:val="00B63BEF"/>
    <w:rsid w:val="00B64834"/>
    <w:rsid w:val="00B666C3"/>
    <w:rsid w:val="00B66836"/>
    <w:rsid w:val="00B66E9E"/>
    <w:rsid w:val="00B6705E"/>
    <w:rsid w:val="00B67374"/>
    <w:rsid w:val="00B7113D"/>
    <w:rsid w:val="00B71D73"/>
    <w:rsid w:val="00B72AA1"/>
    <w:rsid w:val="00B72AB3"/>
    <w:rsid w:val="00B72E99"/>
    <w:rsid w:val="00B734CD"/>
    <w:rsid w:val="00B73F84"/>
    <w:rsid w:val="00B755C1"/>
    <w:rsid w:val="00B81418"/>
    <w:rsid w:val="00B82470"/>
    <w:rsid w:val="00B8288D"/>
    <w:rsid w:val="00B83675"/>
    <w:rsid w:val="00B83878"/>
    <w:rsid w:val="00B83C3C"/>
    <w:rsid w:val="00B85412"/>
    <w:rsid w:val="00B86663"/>
    <w:rsid w:val="00B90E83"/>
    <w:rsid w:val="00B9188C"/>
    <w:rsid w:val="00B91908"/>
    <w:rsid w:val="00B936AB"/>
    <w:rsid w:val="00B9617C"/>
    <w:rsid w:val="00B96A9D"/>
    <w:rsid w:val="00B97B41"/>
    <w:rsid w:val="00BA081A"/>
    <w:rsid w:val="00BA1C53"/>
    <w:rsid w:val="00BA2ABF"/>
    <w:rsid w:val="00BA3310"/>
    <w:rsid w:val="00BA45DA"/>
    <w:rsid w:val="00BA61F6"/>
    <w:rsid w:val="00BB0A94"/>
    <w:rsid w:val="00BB0E24"/>
    <w:rsid w:val="00BB1438"/>
    <w:rsid w:val="00BB1648"/>
    <w:rsid w:val="00BB2327"/>
    <w:rsid w:val="00BB263C"/>
    <w:rsid w:val="00BB2D3F"/>
    <w:rsid w:val="00BB5A74"/>
    <w:rsid w:val="00BB67F3"/>
    <w:rsid w:val="00BC1C0B"/>
    <w:rsid w:val="00BC407B"/>
    <w:rsid w:val="00BC4391"/>
    <w:rsid w:val="00BC6DEA"/>
    <w:rsid w:val="00BD0222"/>
    <w:rsid w:val="00BD0879"/>
    <w:rsid w:val="00BD0A79"/>
    <w:rsid w:val="00BD0DB1"/>
    <w:rsid w:val="00BD0EC3"/>
    <w:rsid w:val="00BD2711"/>
    <w:rsid w:val="00BD2A55"/>
    <w:rsid w:val="00BD3308"/>
    <w:rsid w:val="00BD393B"/>
    <w:rsid w:val="00BD3E0F"/>
    <w:rsid w:val="00BD4D78"/>
    <w:rsid w:val="00BD53DC"/>
    <w:rsid w:val="00BD62B7"/>
    <w:rsid w:val="00BD658E"/>
    <w:rsid w:val="00BD65BE"/>
    <w:rsid w:val="00BE12DC"/>
    <w:rsid w:val="00BE15B3"/>
    <w:rsid w:val="00BE1E5E"/>
    <w:rsid w:val="00BE2C43"/>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8DD"/>
    <w:rsid w:val="00BF6D7C"/>
    <w:rsid w:val="00BF72AC"/>
    <w:rsid w:val="00BF73CE"/>
    <w:rsid w:val="00BF7DF4"/>
    <w:rsid w:val="00BF7DF6"/>
    <w:rsid w:val="00C001B2"/>
    <w:rsid w:val="00C01260"/>
    <w:rsid w:val="00C02573"/>
    <w:rsid w:val="00C0347E"/>
    <w:rsid w:val="00C0389C"/>
    <w:rsid w:val="00C03C01"/>
    <w:rsid w:val="00C042AE"/>
    <w:rsid w:val="00C0466C"/>
    <w:rsid w:val="00C04C69"/>
    <w:rsid w:val="00C0660C"/>
    <w:rsid w:val="00C11892"/>
    <w:rsid w:val="00C12591"/>
    <w:rsid w:val="00C12A2D"/>
    <w:rsid w:val="00C1307A"/>
    <w:rsid w:val="00C1383E"/>
    <w:rsid w:val="00C1412C"/>
    <w:rsid w:val="00C14DE9"/>
    <w:rsid w:val="00C151A2"/>
    <w:rsid w:val="00C166FF"/>
    <w:rsid w:val="00C16C45"/>
    <w:rsid w:val="00C16D18"/>
    <w:rsid w:val="00C21633"/>
    <w:rsid w:val="00C2220D"/>
    <w:rsid w:val="00C22E7C"/>
    <w:rsid w:val="00C23A18"/>
    <w:rsid w:val="00C23B51"/>
    <w:rsid w:val="00C23C0D"/>
    <w:rsid w:val="00C256D1"/>
    <w:rsid w:val="00C26018"/>
    <w:rsid w:val="00C2606D"/>
    <w:rsid w:val="00C26E2B"/>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06CD"/>
    <w:rsid w:val="00C419B1"/>
    <w:rsid w:val="00C42582"/>
    <w:rsid w:val="00C43B8E"/>
    <w:rsid w:val="00C43BFD"/>
    <w:rsid w:val="00C45908"/>
    <w:rsid w:val="00C45A0A"/>
    <w:rsid w:val="00C45A9D"/>
    <w:rsid w:val="00C45BBB"/>
    <w:rsid w:val="00C46536"/>
    <w:rsid w:val="00C470F4"/>
    <w:rsid w:val="00C4777E"/>
    <w:rsid w:val="00C510F2"/>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4EA3"/>
    <w:rsid w:val="00C6548B"/>
    <w:rsid w:val="00C66828"/>
    <w:rsid w:val="00C66A1C"/>
    <w:rsid w:val="00C66C1D"/>
    <w:rsid w:val="00C66E41"/>
    <w:rsid w:val="00C70148"/>
    <w:rsid w:val="00C70274"/>
    <w:rsid w:val="00C702F3"/>
    <w:rsid w:val="00C70472"/>
    <w:rsid w:val="00C71832"/>
    <w:rsid w:val="00C729A1"/>
    <w:rsid w:val="00C7325E"/>
    <w:rsid w:val="00C73271"/>
    <w:rsid w:val="00C746FF"/>
    <w:rsid w:val="00C75E96"/>
    <w:rsid w:val="00C7612E"/>
    <w:rsid w:val="00C766BE"/>
    <w:rsid w:val="00C8210D"/>
    <w:rsid w:val="00C82BF3"/>
    <w:rsid w:val="00C82FC0"/>
    <w:rsid w:val="00C84A1C"/>
    <w:rsid w:val="00C853B7"/>
    <w:rsid w:val="00C87F74"/>
    <w:rsid w:val="00C90745"/>
    <w:rsid w:val="00C9122E"/>
    <w:rsid w:val="00C928F0"/>
    <w:rsid w:val="00C93638"/>
    <w:rsid w:val="00C93F6A"/>
    <w:rsid w:val="00C9492B"/>
    <w:rsid w:val="00C95BD8"/>
    <w:rsid w:val="00C95CAE"/>
    <w:rsid w:val="00C96081"/>
    <w:rsid w:val="00C97578"/>
    <w:rsid w:val="00C97961"/>
    <w:rsid w:val="00CA03F5"/>
    <w:rsid w:val="00CA1679"/>
    <w:rsid w:val="00CA2082"/>
    <w:rsid w:val="00CA3378"/>
    <w:rsid w:val="00CA4D07"/>
    <w:rsid w:val="00CA5744"/>
    <w:rsid w:val="00CA59A9"/>
    <w:rsid w:val="00CA5AE5"/>
    <w:rsid w:val="00CA67D5"/>
    <w:rsid w:val="00CA7FAF"/>
    <w:rsid w:val="00CB0C32"/>
    <w:rsid w:val="00CB22DF"/>
    <w:rsid w:val="00CB36CA"/>
    <w:rsid w:val="00CB49E7"/>
    <w:rsid w:val="00CB4BC1"/>
    <w:rsid w:val="00CB5834"/>
    <w:rsid w:val="00CB5978"/>
    <w:rsid w:val="00CB6CF9"/>
    <w:rsid w:val="00CB6F08"/>
    <w:rsid w:val="00CC063E"/>
    <w:rsid w:val="00CC1713"/>
    <w:rsid w:val="00CC21A8"/>
    <w:rsid w:val="00CC2422"/>
    <w:rsid w:val="00CC2D89"/>
    <w:rsid w:val="00CC3923"/>
    <w:rsid w:val="00CC4697"/>
    <w:rsid w:val="00CC4AB4"/>
    <w:rsid w:val="00CC4BBF"/>
    <w:rsid w:val="00CC4DD8"/>
    <w:rsid w:val="00CC6421"/>
    <w:rsid w:val="00CD1EA3"/>
    <w:rsid w:val="00CD25AF"/>
    <w:rsid w:val="00CD2C22"/>
    <w:rsid w:val="00CD32D6"/>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4833"/>
    <w:rsid w:val="00CF4992"/>
    <w:rsid w:val="00CF54D7"/>
    <w:rsid w:val="00D01E16"/>
    <w:rsid w:val="00D0236D"/>
    <w:rsid w:val="00D0307B"/>
    <w:rsid w:val="00D0367F"/>
    <w:rsid w:val="00D04445"/>
    <w:rsid w:val="00D04F75"/>
    <w:rsid w:val="00D06725"/>
    <w:rsid w:val="00D0710A"/>
    <w:rsid w:val="00D13BB2"/>
    <w:rsid w:val="00D15A4F"/>
    <w:rsid w:val="00D15D79"/>
    <w:rsid w:val="00D16CCD"/>
    <w:rsid w:val="00D2016F"/>
    <w:rsid w:val="00D20B00"/>
    <w:rsid w:val="00D23C71"/>
    <w:rsid w:val="00D23E6F"/>
    <w:rsid w:val="00D244A2"/>
    <w:rsid w:val="00D24E24"/>
    <w:rsid w:val="00D254FB"/>
    <w:rsid w:val="00D26254"/>
    <w:rsid w:val="00D266E6"/>
    <w:rsid w:val="00D27933"/>
    <w:rsid w:val="00D309FE"/>
    <w:rsid w:val="00D30E88"/>
    <w:rsid w:val="00D315DA"/>
    <w:rsid w:val="00D32956"/>
    <w:rsid w:val="00D33C01"/>
    <w:rsid w:val="00D33C91"/>
    <w:rsid w:val="00D34B95"/>
    <w:rsid w:val="00D351CD"/>
    <w:rsid w:val="00D37535"/>
    <w:rsid w:val="00D37C04"/>
    <w:rsid w:val="00D37EB0"/>
    <w:rsid w:val="00D405EB"/>
    <w:rsid w:val="00D40D50"/>
    <w:rsid w:val="00D415DC"/>
    <w:rsid w:val="00D416C7"/>
    <w:rsid w:val="00D419E8"/>
    <w:rsid w:val="00D42B61"/>
    <w:rsid w:val="00D42C8E"/>
    <w:rsid w:val="00D44A3F"/>
    <w:rsid w:val="00D44B2D"/>
    <w:rsid w:val="00D4515E"/>
    <w:rsid w:val="00D4554D"/>
    <w:rsid w:val="00D457D8"/>
    <w:rsid w:val="00D45A44"/>
    <w:rsid w:val="00D46547"/>
    <w:rsid w:val="00D46E89"/>
    <w:rsid w:val="00D474D1"/>
    <w:rsid w:val="00D47BBE"/>
    <w:rsid w:val="00D52006"/>
    <w:rsid w:val="00D52225"/>
    <w:rsid w:val="00D528E9"/>
    <w:rsid w:val="00D53F47"/>
    <w:rsid w:val="00D545B1"/>
    <w:rsid w:val="00D5522E"/>
    <w:rsid w:val="00D552B0"/>
    <w:rsid w:val="00D554D9"/>
    <w:rsid w:val="00D56154"/>
    <w:rsid w:val="00D608ED"/>
    <w:rsid w:val="00D610B1"/>
    <w:rsid w:val="00D6295A"/>
    <w:rsid w:val="00D6429C"/>
    <w:rsid w:val="00D64E62"/>
    <w:rsid w:val="00D664BE"/>
    <w:rsid w:val="00D71ABE"/>
    <w:rsid w:val="00D720AC"/>
    <w:rsid w:val="00D7327A"/>
    <w:rsid w:val="00D7442C"/>
    <w:rsid w:val="00D75255"/>
    <w:rsid w:val="00D7572F"/>
    <w:rsid w:val="00D76BF5"/>
    <w:rsid w:val="00D76E90"/>
    <w:rsid w:val="00D77C26"/>
    <w:rsid w:val="00D77C8E"/>
    <w:rsid w:val="00D77E73"/>
    <w:rsid w:val="00D818E0"/>
    <w:rsid w:val="00D83BB1"/>
    <w:rsid w:val="00D85319"/>
    <w:rsid w:val="00D866C7"/>
    <w:rsid w:val="00D86D5B"/>
    <w:rsid w:val="00D87D62"/>
    <w:rsid w:val="00D903AB"/>
    <w:rsid w:val="00D90B9B"/>
    <w:rsid w:val="00D931C0"/>
    <w:rsid w:val="00D9373C"/>
    <w:rsid w:val="00D93DB5"/>
    <w:rsid w:val="00D95C64"/>
    <w:rsid w:val="00D96E3E"/>
    <w:rsid w:val="00DA1069"/>
    <w:rsid w:val="00DA13F2"/>
    <w:rsid w:val="00DA31A9"/>
    <w:rsid w:val="00DA3F04"/>
    <w:rsid w:val="00DA47FB"/>
    <w:rsid w:val="00DA4AEE"/>
    <w:rsid w:val="00DA6039"/>
    <w:rsid w:val="00DA6510"/>
    <w:rsid w:val="00DA67A2"/>
    <w:rsid w:val="00DA7299"/>
    <w:rsid w:val="00DA7AED"/>
    <w:rsid w:val="00DA7D23"/>
    <w:rsid w:val="00DB0211"/>
    <w:rsid w:val="00DB3B32"/>
    <w:rsid w:val="00DB40FD"/>
    <w:rsid w:val="00DB434E"/>
    <w:rsid w:val="00DB4FFA"/>
    <w:rsid w:val="00DB5A87"/>
    <w:rsid w:val="00DB7399"/>
    <w:rsid w:val="00DC0038"/>
    <w:rsid w:val="00DC0795"/>
    <w:rsid w:val="00DC0D5E"/>
    <w:rsid w:val="00DC108F"/>
    <w:rsid w:val="00DC2198"/>
    <w:rsid w:val="00DC293A"/>
    <w:rsid w:val="00DC415A"/>
    <w:rsid w:val="00DC440F"/>
    <w:rsid w:val="00DC52C9"/>
    <w:rsid w:val="00DC5D95"/>
    <w:rsid w:val="00DC6044"/>
    <w:rsid w:val="00DD02EB"/>
    <w:rsid w:val="00DD1128"/>
    <w:rsid w:val="00DD158B"/>
    <w:rsid w:val="00DD18ED"/>
    <w:rsid w:val="00DD3100"/>
    <w:rsid w:val="00DD3876"/>
    <w:rsid w:val="00DD4374"/>
    <w:rsid w:val="00DD513D"/>
    <w:rsid w:val="00DD529C"/>
    <w:rsid w:val="00DD7160"/>
    <w:rsid w:val="00DE067E"/>
    <w:rsid w:val="00DE1735"/>
    <w:rsid w:val="00DE2491"/>
    <w:rsid w:val="00DE289C"/>
    <w:rsid w:val="00DE2DFE"/>
    <w:rsid w:val="00DE3DBD"/>
    <w:rsid w:val="00DE422B"/>
    <w:rsid w:val="00DE53CC"/>
    <w:rsid w:val="00DE55E5"/>
    <w:rsid w:val="00DE5A35"/>
    <w:rsid w:val="00DE5A45"/>
    <w:rsid w:val="00DE6915"/>
    <w:rsid w:val="00DF0904"/>
    <w:rsid w:val="00DF0C29"/>
    <w:rsid w:val="00DF253D"/>
    <w:rsid w:val="00DF254C"/>
    <w:rsid w:val="00DF2AB7"/>
    <w:rsid w:val="00DF2AC5"/>
    <w:rsid w:val="00DF2C4F"/>
    <w:rsid w:val="00DF41E3"/>
    <w:rsid w:val="00DF46DD"/>
    <w:rsid w:val="00DF7629"/>
    <w:rsid w:val="00DF7AFB"/>
    <w:rsid w:val="00E03A9F"/>
    <w:rsid w:val="00E05EEA"/>
    <w:rsid w:val="00E066F5"/>
    <w:rsid w:val="00E070CD"/>
    <w:rsid w:val="00E103DC"/>
    <w:rsid w:val="00E110F6"/>
    <w:rsid w:val="00E14281"/>
    <w:rsid w:val="00E145E9"/>
    <w:rsid w:val="00E1498E"/>
    <w:rsid w:val="00E16087"/>
    <w:rsid w:val="00E16E21"/>
    <w:rsid w:val="00E17115"/>
    <w:rsid w:val="00E179DE"/>
    <w:rsid w:val="00E215A4"/>
    <w:rsid w:val="00E218D7"/>
    <w:rsid w:val="00E22950"/>
    <w:rsid w:val="00E23837"/>
    <w:rsid w:val="00E24576"/>
    <w:rsid w:val="00E2478E"/>
    <w:rsid w:val="00E2492C"/>
    <w:rsid w:val="00E24B38"/>
    <w:rsid w:val="00E25501"/>
    <w:rsid w:val="00E25690"/>
    <w:rsid w:val="00E25EB6"/>
    <w:rsid w:val="00E27055"/>
    <w:rsid w:val="00E301E0"/>
    <w:rsid w:val="00E302CD"/>
    <w:rsid w:val="00E309BE"/>
    <w:rsid w:val="00E31D1C"/>
    <w:rsid w:val="00E3270D"/>
    <w:rsid w:val="00E340FE"/>
    <w:rsid w:val="00E3410D"/>
    <w:rsid w:val="00E34458"/>
    <w:rsid w:val="00E34740"/>
    <w:rsid w:val="00E34975"/>
    <w:rsid w:val="00E34ABA"/>
    <w:rsid w:val="00E35C6C"/>
    <w:rsid w:val="00E35CF1"/>
    <w:rsid w:val="00E36196"/>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B82"/>
    <w:rsid w:val="00E56B9E"/>
    <w:rsid w:val="00E60651"/>
    <w:rsid w:val="00E62357"/>
    <w:rsid w:val="00E62E04"/>
    <w:rsid w:val="00E64CDD"/>
    <w:rsid w:val="00E651ED"/>
    <w:rsid w:val="00E654A3"/>
    <w:rsid w:val="00E65EE5"/>
    <w:rsid w:val="00E66D50"/>
    <w:rsid w:val="00E675F9"/>
    <w:rsid w:val="00E7032B"/>
    <w:rsid w:val="00E73502"/>
    <w:rsid w:val="00E7452D"/>
    <w:rsid w:val="00E77033"/>
    <w:rsid w:val="00E8084B"/>
    <w:rsid w:val="00E81726"/>
    <w:rsid w:val="00E81E49"/>
    <w:rsid w:val="00E83697"/>
    <w:rsid w:val="00E83823"/>
    <w:rsid w:val="00E859F8"/>
    <w:rsid w:val="00E85B34"/>
    <w:rsid w:val="00E85EBB"/>
    <w:rsid w:val="00E90B2B"/>
    <w:rsid w:val="00E90BC4"/>
    <w:rsid w:val="00E910F3"/>
    <w:rsid w:val="00E9161E"/>
    <w:rsid w:val="00E92C38"/>
    <w:rsid w:val="00E96309"/>
    <w:rsid w:val="00E97509"/>
    <w:rsid w:val="00E976E9"/>
    <w:rsid w:val="00EA0E71"/>
    <w:rsid w:val="00EA1D2B"/>
    <w:rsid w:val="00EA1D44"/>
    <w:rsid w:val="00EA24F9"/>
    <w:rsid w:val="00EA394A"/>
    <w:rsid w:val="00EA42D9"/>
    <w:rsid w:val="00EA4566"/>
    <w:rsid w:val="00EA4813"/>
    <w:rsid w:val="00EA5082"/>
    <w:rsid w:val="00EA7941"/>
    <w:rsid w:val="00EB0019"/>
    <w:rsid w:val="00EB0654"/>
    <w:rsid w:val="00EB1060"/>
    <w:rsid w:val="00EB12CE"/>
    <w:rsid w:val="00EB2061"/>
    <w:rsid w:val="00EB28AB"/>
    <w:rsid w:val="00EB2A97"/>
    <w:rsid w:val="00EB3816"/>
    <w:rsid w:val="00EB5957"/>
    <w:rsid w:val="00EB6068"/>
    <w:rsid w:val="00EB6381"/>
    <w:rsid w:val="00EB70B5"/>
    <w:rsid w:val="00EB7742"/>
    <w:rsid w:val="00EC0AAD"/>
    <w:rsid w:val="00EC208D"/>
    <w:rsid w:val="00EC2C2D"/>
    <w:rsid w:val="00EC2C82"/>
    <w:rsid w:val="00EC432C"/>
    <w:rsid w:val="00EC6DC6"/>
    <w:rsid w:val="00EC7361"/>
    <w:rsid w:val="00EC7A0D"/>
    <w:rsid w:val="00EC7A81"/>
    <w:rsid w:val="00ED0180"/>
    <w:rsid w:val="00ED0A49"/>
    <w:rsid w:val="00ED16DC"/>
    <w:rsid w:val="00ED1F96"/>
    <w:rsid w:val="00ED5AB7"/>
    <w:rsid w:val="00ED6594"/>
    <w:rsid w:val="00ED72B8"/>
    <w:rsid w:val="00ED7C43"/>
    <w:rsid w:val="00EE077A"/>
    <w:rsid w:val="00EE115B"/>
    <w:rsid w:val="00EE231F"/>
    <w:rsid w:val="00EE23C3"/>
    <w:rsid w:val="00EE3462"/>
    <w:rsid w:val="00EE56A6"/>
    <w:rsid w:val="00EE5831"/>
    <w:rsid w:val="00EE5A03"/>
    <w:rsid w:val="00EE7201"/>
    <w:rsid w:val="00EE7215"/>
    <w:rsid w:val="00EE752A"/>
    <w:rsid w:val="00EE782C"/>
    <w:rsid w:val="00EF1A6E"/>
    <w:rsid w:val="00EF1A73"/>
    <w:rsid w:val="00EF1F45"/>
    <w:rsid w:val="00EF2869"/>
    <w:rsid w:val="00EF3AD5"/>
    <w:rsid w:val="00EF4562"/>
    <w:rsid w:val="00EF49B3"/>
    <w:rsid w:val="00EF4B17"/>
    <w:rsid w:val="00EF4F41"/>
    <w:rsid w:val="00EF5F2D"/>
    <w:rsid w:val="00EF6481"/>
    <w:rsid w:val="00F00F06"/>
    <w:rsid w:val="00F0154D"/>
    <w:rsid w:val="00F0249F"/>
    <w:rsid w:val="00F02C25"/>
    <w:rsid w:val="00F04C5E"/>
    <w:rsid w:val="00F04F1D"/>
    <w:rsid w:val="00F0607E"/>
    <w:rsid w:val="00F06A24"/>
    <w:rsid w:val="00F06AAD"/>
    <w:rsid w:val="00F06F88"/>
    <w:rsid w:val="00F11B12"/>
    <w:rsid w:val="00F12FE1"/>
    <w:rsid w:val="00F13345"/>
    <w:rsid w:val="00F15596"/>
    <w:rsid w:val="00F15DAC"/>
    <w:rsid w:val="00F16583"/>
    <w:rsid w:val="00F20C69"/>
    <w:rsid w:val="00F21B3A"/>
    <w:rsid w:val="00F22C85"/>
    <w:rsid w:val="00F22F28"/>
    <w:rsid w:val="00F239C5"/>
    <w:rsid w:val="00F250ED"/>
    <w:rsid w:val="00F255B7"/>
    <w:rsid w:val="00F26796"/>
    <w:rsid w:val="00F2706B"/>
    <w:rsid w:val="00F27273"/>
    <w:rsid w:val="00F27AB9"/>
    <w:rsid w:val="00F30A69"/>
    <w:rsid w:val="00F31298"/>
    <w:rsid w:val="00F32209"/>
    <w:rsid w:val="00F3283C"/>
    <w:rsid w:val="00F32BA7"/>
    <w:rsid w:val="00F33D16"/>
    <w:rsid w:val="00F33D9E"/>
    <w:rsid w:val="00F3571B"/>
    <w:rsid w:val="00F361AA"/>
    <w:rsid w:val="00F3668C"/>
    <w:rsid w:val="00F36B0A"/>
    <w:rsid w:val="00F36DAA"/>
    <w:rsid w:val="00F37854"/>
    <w:rsid w:val="00F37865"/>
    <w:rsid w:val="00F37D0F"/>
    <w:rsid w:val="00F4100C"/>
    <w:rsid w:val="00F4345C"/>
    <w:rsid w:val="00F445A4"/>
    <w:rsid w:val="00F4555A"/>
    <w:rsid w:val="00F45B01"/>
    <w:rsid w:val="00F45B51"/>
    <w:rsid w:val="00F45DF4"/>
    <w:rsid w:val="00F47788"/>
    <w:rsid w:val="00F47938"/>
    <w:rsid w:val="00F51E15"/>
    <w:rsid w:val="00F52FBA"/>
    <w:rsid w:val="00F5443A"/>
    <w:rsid w:val="00F54680"/>
    <w:rsid w:val="00F55118"/>
    <w:rsid w:val="00F55D93"/>
    <w:rsid w:val="00F5649A"/>
    <w:rsid w:val="00F57893"/>
    <w:rsid w:val="00F60F2B"/>
    <w:rsid w:val="00F61DE9"/>
    <w:rsid w:val="00F620E8"/>
    <w:rsid w:val="00F63711"/>
    <w:rsid w:val="00F649E5"/>
    <w:rsid w:val="00F650F8"/>
    <w:rsid w:val="00F655E7"/>
    <w:rsid w:val="00F6579B"/>
    <w:rsid w:val="00F65CF5"/>
    <w:rsid w:val="00F66131"/>
    <w:rsid w:val="00F66213"/>
    <w:rsid w:val="00F67D3F"/>
    <w:rsid w:val="00F70F4C"/>
    <w:rsid w:val="00F72EB1"/>
    <w:rsid w:val="00F7330C"/>
    <w:rsid w:val="00F746CA"/>
    <w:rsid w:val="00F74FF9"/>
    <w:rsid w:val="00F755E3"/>
    <w:rsid w:val="00F75EB9"/>
    <w:rsid w:val="00F7669E"/>
    <w:rsid w:val="00F76E3E"/>
    <w:rsid w:val="00F773BD"/>
    <w:rsid w:val="00F806FF"/>
    <w:rsid w:val="00F80CD1"/>
    <w:rsid w:val="00F824D5"/>
    <w:rsid w:val="00F8486D"/>
    <w:rsid w:val="00F8524C"/>
    <w:rsid w:val="00F85DCE"/>
    <w:rsid w:val="00F86380"/>
    <w:rsid w:val="00F872D6"/>
    <w:rsid w:val="00F9009E"/>
    <w:rsid w:val="00F90A1C"/>
    <w:rsid w:val="00F91ECA"/>
    <w:rsid w:val="00F923F0"/>
    <w:rsid w:val="00F923FC"/>
    <w:rsid w:val="00F95202"/>
    <w:rsid w:val="00F96755"/>
    <w:rsid w:val="00F967E5"/>
    <w:rsid w:val="00F97D36"/>
    <w:rsid w:val="00FA0866"/>
    <w:rsid w:val="00FA0BE7"/>
    <w:rsid w:val="00FA11F5"/>
    <w:rsid w:val="00FA3373"/>
    <w:rsid w:val="00FA36F4"/>
    <w:rsid w:val="00FA486B"/>
    <w:rsid w:val="00FA568E"/>
    <w:rsid w:val="00FA5A69"/>
    <w:rsid w:val="00FA655C"/>
    <w:rsid w:val="00FB0D63"/>
    <w:rsid w:val="00FB181A"/>
    <w:rsid w:val="00FB1BCF"/>
    <w:rsid w:val="00FB21AF"/>
    <w:rsid w:val="00FB26A2"/>
    <w:rsid w:val="00FB28BF"/>
    <w:rsid w:val="00FB2D87"/>
    <w:rsid w:val="00FB39A3"/>
    <w:rsid w:val="00FB3A2B"/>
    <w:rsid w:val="00FB41B0"/>
    <w:rsid w:val="00FB6151"/>
    <w:rsid w:val="00FB6299"/>
    <w:rsid w:val="00FB6BCE"/>
    <w:rsid w:val="00FB6C2F"/>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E42"/>
    <w:rsid w:val="00FD3EE6"/>
    <w:rsid w:val="00FD56B6"/>
    <w:rsid w:val="00FD7460"/>
    <w:rsid w:val="00FD7DA8"/>
    <w:rsid w:val="00FE0D48"/>
    <w:rsid w:val="00FE1388"/>
    <w:rsid w:val="00FE14F7"/>
    <w:rsid w:val="00FE2653"/>
    <w:rsid w:val="00FE349E"/>
    <w:rsid w:val="00FE3970"/>
    <w:rsid w:val="00FE5A68"/>
    <w:rsid w:val="00FE69F8"/>
    <w:rsid w:val="00FE755A"/>
    <w:rsid w:val="00FF1929"/>
    <w:rsid w:val="00FF23C4"/>
    <w:rsid w:val="00FF263C"/>
    <w:rsid w:val="00FF3F66"/>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uiPriority w:val="9"/>
    <w:qFormat/>
    <w:rsid w:val="00F21B3A"/>
    <w:pPr>
      <w:keepNext/>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uiPriority w:val="9"/>
    <w:qFormat/>
    <w:rsid w:val="00D52006"/>
    <w:pPr>
      <w:keepNext/>
      <w:spacing w:before="360" w:after="120"/>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uiPriority w:val="9"/>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areth@icoss.org" TargetMode="Externa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nrolment.adoption@smartdcc.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sultations@smartdcc.co.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NDYQVYFD76VK-1947674797-331</_dlc_DocId>
    <_dlc_DocIdUrl xmlns="a506c0bb-1327-4a28-8c99-5f231145fa20">
      <Url>https://smartdcc.sharepoint.com/sites/DCCChargingReview/_layouts/15/DocIdRedir.aspx?ID=NDYQVYFD76VK-1947674797-331</Url>
      <Description>NDYQVYFD76VK-1947674797-331</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F9453F5-EAE8-4727-B1B5-19E8DB27758A}"/>
</file>

<file path=customXml/itemProps2.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c7dccf3f-008e-465c-9e46-b3283d304c80"/>
    <ds:schemaRef ds:uri="d5e8df70-7ba7-462a-92bc-0eb2af61e599"/>
  </ds:schemaRefs>
</ds:datastoreItem>
</file>

<file path=customXml/itemProps3.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customXml/itemProps4.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5.xml><?xml version="1.0" encoding="utf-8"?>
<ds:datastoreItem xmlns:ds="http://schemas.openxmlformats.org/officeDocument/2006/customXml" ds:itemID="{E7FEFA89-105F-480F-8F57-45CBC9181D1B}"/>
</file>

<file path=docProps/app.xml><?xml version="1.0" encoding="utf-8"?>
<Properties xmlns="http://schemas.openxmlformats.org/officeDocument/2006/extended-properties" xmlns:vt="http://schemas.openxmlformats.org/officeDocument/2006/docPropsVTypes">
  <Template>Normal</Template>
  <TotalTime>0</TotalTime>
  <Pages>13</Pages>
  <Words>1271</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2024-06-20T14:41:00Z</dcterms:created>
  <dcterms:modified xsi:type="dcterms:W3CDTF">2024-06-20T16:55:00Z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6d0b5bd2-d305-4ee5-82ce-dfbf3b5327cc</vt:lpwstr>
  </property>
  <property fmtid="{D5CDD505-2E9C-101B-9397-08002B2CF9AE}" pid="19" name="DCCDocumentStatus">
    <vt:lpwstr/>
  </property>
  <property fmtid="{D5CDD505-2E9C-101B-9397-08002B2CF9AE}" pid="20" name="SmartDCCDocumentType">
    <vt:lpwstr/>
  </property>
  <property fmtid="{D5CDD505-2E9C-101B-9397-08002B2CF9AE}" pid="21" name="SmartDCCSecurityClassification">
    <vt:lpwstr/>
  </property>
  <property fmtid="{D5CDD505-2E9C-101B-9397-08002B2CF9AE}" pid="22" name="DCCRelease">
    <vt:lpwstr/>
  </property>
  <property fmtid="{D5CDD505-2E9C-101B-9397-08002B2CF9AE}" pid="23" name="DCCDepartment">
    <vt:lpwstr/>
  </property>
</Properties>
</file>